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561B" w14:textId="77777777" w:rsidR="00AC6F9E" w:rsidRPr="0025658E" w:rsidRDefault="00AC6F9E" w:rsidP="00AC6F9E">
      <w:pPr>
        <w:tabs>
          <w:tab w:val="center" w:pos="4536"/>
          <w:tab w:val="right" w:pos="9720"/>
        </w:tabs>
        <w:jc w:val="center"/>
        <w:rPr>
          <w:b/>
        </w:rPr>
      </w:pPr>
      <w:r w:rsidRPr="0025658E">
        <w:rPr>
          <w:noProof/>
          <w:sz w:val="20"/>
        </w:rPr>
        <w:drawing>
          <wp:inline distT="0" distB="0" distL="0" distR="0" wp14:anchorId="4F39EDF0" wp14:editId="7C69DF62">
            <wp:extent cx="739140" cy="819150"/>
            <wp:effectExtent l="0" t="0" r="381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819150"/>
                    </a:xfrm>
                    <a:prstGeom prst="rect">
                      <a:avLst/>
                    </a:prstGeom>
                    <a:noFill/>
                    <a:ln>
                      <a:noFill/>
                    </a:ln>
                  </pic:spPr>
                </pic:pic>
              </a:graphicData>
            </a:graphic>
          </wp:inline>
        </w:drawing>
      </w:r>
    </w:p>
    <w:p w14:paraId="0FE02839" w14:textId="77777777" w:rsidR="00AC6F9E" w:rsidRPr="0025658E" w:rsidRDefault="00AC6F9E" w:rsidP="00AC6F9E">
      <w:pPr>
        <w:pStyle w:val="Pis"/>
        <w:spacing w:before="0"/>
        <w:jc w:val="center"/>
        <w:rPr>
          <w:sz w:val="44"/>
          <w:szCs w:val="44"/>
        </w:rPr>
      </w:pPr>
      <w:r w:rsidRPr="0025658E">
        <w:rPr>
          <w:noProof/>
          <w:spacing w:val="70"/>
          <w:sz w:val="44"/>
          <w:szCs w:val="44"/>
          <w:lang w:val="fi-FI"/>
        </w:rPr>
        <w:t>KOHTUMÄÄRUS</w:t>
      </w:r>
    </w:p>
    <w:tbl>
      <w:tblPr>
        <w:tblW w:w="9285" w:type="dxa"/>
        <w:tblLayout w:type="fixed"/>
        <w:tblLook w:val="04A0" w:firstRow="1" w:lastRow="0" w:firstColumn="1" w:lastColumn="0" w:noHBand="0" w:noVBand="1"/>
      </w:tblPr>
      <w:tblGrid>
        <w:gridCol w:w="3527"/>
        <w:gridCol w:w="5758"/>
      </w:tblGrid>
      <w:tr w:rsidR="00AC6F9E" w:rsidRPr="0025658E" w14:paraId="4B3CCEFA" w14:textId="77777777" w:rsidTr="00FE2534">
        <w:tc>
          <w:tcPr>
            <w:tcW w:w="3527" w:type="dxa"/>
          </w:tcPr>
          <w:p w14:paraId="2573C117" w14:textId="77777777" w:rsidR="00AC6F9E" w:rsidRPr="0025658E" w:rsidRDefault="00AC6F9E" w:rsidP="00FE2534">
            <w:pPr>
              <w:spacing w:before="0"/>
              <w:rPr>
                <w:b/>
              </w:rPr>
            </w:pPr>
          </w:p>
          <w:p w14:paraId="64C3538A" w14:textId="77777777" w:rsidR="00AC6F9E" w:rsidRPr="0025658E" w:rsidRDefault="00AC6F9E" w:rsidP="00FE2534">
            <w:pPr>
              <w:spacing w:before="0"/>
              <w:rPr>
                <w:b/>
              </w:rPr>
            </w:pPr>
            <w:r w:rsidRPr="0025658E">
              <w:rPr>
                <w:b/>
              </w:rPr>
              <w:t>Kohus</w:t>
            </w:r>
          </w:p>
        </w:tc>
        <w:tc>
          <w:tcPr>
            <w:tcW w:w="5758" w:type="dxa"/>
          </w:tcPr>
          <w:p w14:paraId="3468BA36" w14:textId="77777777" w:rsidR="00AC6F9E" w:rsidRPr="0025658E" w:rsidRDefault="00AC6F9E" w:rsidP="00FE2534">
            <w:pPr>
              <w:spacing w:before="0"/>
            </w:pPr>
          </w:p>
          <w:p w14:paraId="30BC84BB" w14:textId="77777777" w:rsidR="00AC6F9E" w:rsidRPr="0025658E" w:rsidRDefault="00AC6F9E" w:rsidP="00FE2534">
            <w:pPr>
              <w:spacing w:before="0"/>
            </w:pPr>
            <w:r w:rsidRPr="0025658E">
              <w:t>Harju Maakohus</w:t>
            </w:r>
          </w:p>
        </w:tc>
      </w:tr>
      <w:tr w:rsidR="00AC6F9E" w:rsidRPr="0025658E" w14:paraId="54EE0190" w14:textId="77777777" w:rsidTr="00FE2534">
        <w:tc>
          <w:tcPr>
            <w:tcW w:w="3527" w:type="dxa"/>
          </w:tcPr>
          <w:p w14:paraId="76DD2CE0" w14:textId="77777777" w:rsidR="00AC6F9E" w:rsidRPr="0025658E" w:rsidRDefault="00AC6F9E" w:rsidP="00FE2534">
            <w:pPr>
              <w:spacing w:before="0"/>
              <w:rPr>
                <w:b/>
              </w:rPr>
            </w:pPr>
            <w:r w:rsidRPr="0025658E">
              <w:rPr>
                <w:b/>
              </w:rPr>
              <w:t>Kohtunik</w:t>
            </w:r>
          </w:p>
        </w:tc>
        <w:tc>
          <w:tcPr>
            <w:tcW w:w="5758" w:type="dxa"/>
          </w:tcPr>
          <w:p w14:paraId="1E0F8856" w14:textId="77777777" w:rsidR="00AC6F9E" w:rsidRPr="0025658E" w:rsidRDefault="00AC6F9E" w:rsidP="00FE2534">
            <w:pPr>
              <w:spacing w:before="0"/>
            </w:pPr>
            <w:r w:rsidRPr="0025658E">
              <w:t>Kaisa Margus</w:t>
            </w:r>
          </w:p>
        </w:tc>
      </w:tr>
      <w:tr w:rsidR="00AC6F9E" w:rsidRPr="0025658E" w14:paraId="7CCEDCE5" w14:textId="77777777" w:rsidTr="00FE2534">
        <w:tc>
          <w:tcPr>
            <w:tcW w:w="3527" w:type="dxa"/>
          </w:tcPr>
          <w:p w14:paraId="49BEE59A" w14:textId="77777777" w:rsidR="00AC6F9E" w:rsidRPr="0090270A" w:rsidRDefault="00AC6F9E" w:rsidP="00FE2534">
            <w:pPr>
              <w:spacing w:before="0"/>
              <w:rPr>
                <w:b/>
              </w:rPr>
            </w:pPr>
            <w:r w:rsidRPr="0090270A">
              <w:rPr>
                <w:b/>
              </w:rPr>
              <w:t>Määruse tegemise aeg ja koht</w:t>
            </w:r>
          </w:p>
        </w:tc>
        <w:tc>
          <w:tcPr>
            <w:tcW w:w="5758" w:type="dxa"/>
          </w:tcPr>
          <w:p w14:paraId="3B7B1B30" w14:textId="635BC831" w:rsidR="00AC6F9E" w:rsidRPr="0090270A" w:rsidRDefault="0090270A" w:rsidP="00FE2534">
            <w:pPr>
              <w:spacing w:before="0"/>
            </w:pPr>
            <w:r w:rsidRPr="0090270A">
              <w:t>30</w:t>
            </w:r>
            <w:r w:rsidR="00AC6F9E" w:rsidRPr="0090270A">
              <w:t>.04.2025, Tallinn</w:t>
            </w:r>
          </w:p>
        </w:tc>
      </w:tr>
      <w:tr w:rsidR="00AC6F9E" w:rsidRPr="0025658E" w14:paraId="10B5CDF5" w14:textId="77777777" w:rsidTr="00FE2534">
        <w:tc>
          <w:tcPr>
            <w:tcW w:w="3527" w:type="dxa"/>
          </w:tcPr>
          <w:p w14:paraId="26FD42F1" w14:textId="77777777" w:rsidR="00AC6F9E" w:rsidRPr="0025658E" w:rsidRDefault="00AC6F9E" w:rsidP="00FE2534">
            <w:pPr>
              <w:spacing w:before="0"/>
              <w:rPr>
                <w:b/>
              </w:rPr>
            </w:pPr>
            <w:r w:rsidRPr="0025658E">
              <w:rPr>
                <w:b/>
              </w:rPr>
              <w:t>Tsiviilasja number</w:t>
            </w:r>
          </w:p>
        </w:tc>
        <w:tc>
          <w:tcPr>
            <w:tcW w:w="5758" w:type="dxa"/>
          </w:tcPr>
          <w:p w14:paraId="5CFDD3DE" w14:textId="125F8679" w:rsidR="00AC6F9E" w:rsidRPr="0025658E" w:rsidRDefault="00AC6F9E" w:rsidP="00FE2534">
            <w:pPr>
              <w:spacing w:before="0"/>
            </w:pPr>
            <w:r>
              <w:t>2-18-17911</w:t>
            </w:r>
          </w:p>
        </w:tc>
      </w:tr>
      <w:tr w:rsidR="00AC6F9E" w:rsidRPr="0025658E" w14:paraId="42BA25F4" w14:textId="77777777" w:rsidTr="00FE2534">
        <w:tc>
          <w:tcPr>
            <w:tcW w:w="3527" w:type="dxa"/>
          </w:tcPr>
          <w:p w14:paraId="29AAEF78" w14:textId="77777777" w:rsidR="00AC6F9E" w:rsidRPr="0025658E" w:rsidRDefault="00AC6F9E" w:rsidP="00FE2534">
            <w:pPr>
              <w:spacing w:before="0"/>
              <w:rPr>
                <w:b/>
              </w:rPr>
            </w:pPr>
            <w:r w:rsidRPr="0025658E">
              <w:rPr>
                <w:b/>
              </w:rPr>
              <w:t>Tsiviilasi</w:t>
            </w:r>
          </w:p>
        </w:tc>
        <w:tc>
          <w:tcPr>
            <w:tcW w:w="5758" w:type="dxa"/>
          </w:tcPr>
          <w:p w14:paraId="1DB1A2AA" w14:textId="6D002009" w:rsidR="00AC6F9E" w:rsidRPr="0025658E" w:rsidRDefault="00AC6F9E" w:rsidP="00FE2534">
            <w:pPr>
              <w:spacing w:before="0"/>
              <w:rPr>
                <w:b/>
                <w:bCs/>
              </w:rPr>
            </w:pPr>
            <w:r>
              <w:rPr>
                <w:b/>
                <w:bCs/>
              </w:rPr>
              <w:t>Rain Gustavson</w:t>
            </w:r>
            <w:r w:rsidR="00745277">
              <w:rPr>
                <w:b/>
                <w:bCs/>
              </w:rPr>
              <w:t>i</w:t>
            </w:r>
            <w:r w:rsidRPr="0025658E">
              <w:rPr>
                <w:b/>
                <w:bCs/>
              </w:rPr>
              <w:t xml:space="preserve"> </w:t>
            </w:r>
            <w:r>
              <w:rPr>
                <w:b/>
                <w:bCs/>
              </w:rPr>
              <w:t>kohustustest vabastamise menetlus</w:t>
            </w:r>
          </w:p>
        </w:tc>
      </w:tr>
      <w:tr w:rsidR="00AC6F9E" w:rsidRPr="0025658E" w14:paraId="0A928CA4" w14:textId="77777777" w:rsidTr="00FE2534">
        <w:tc>
          <w:tcPr>
            <w:tcW w:w="3527" w:type="dxa"/>
          </w:tcPr>
          <w:p w14:paraId="7A4EE571" w14:textId="77777777" w:rsidR="00AC6F9E" w:rsidRPr="00741B79" w:rsidRDefault="00AC6F9E" w:rsidP="00FE2534">
            <w:pPr>
              <w:spacing w:before="0"/>
              <w:rPr>
                <w:b/>
              </w:rPr>
            </w:pPr>
            <w:r w:rsidRPr="00741B79">
              <w:rPr>
                <w:b/>
              </w:rPr>
              <w:t>Menetlusosalised ja nende esindajad</w:t>
            </w:r>
          </w:p>
        </w:tc>
        <w:tc>
          <w:tcPr>
            <w:tcW w:w="5758" w:type="dxa"/>
          </w:tcPr>
          <w:p w14:paraId="3FC51E28" w14:textId="2BD45320" w:rsidR="00AC6F9E" w:rsidRPr="00741B79" w:rsidRDefault="00AC6F9E" w:rsidP="00FE2534">
            <w:pPr>
              <w:spacing w:before="0"/>
            </w:pPr>
            <w:r w:rsidRPr="00741B79">
              <w:t xml:space="preserve">Võlgnik: Rain </w:t>
            </w:r>
            <w:proofErr w:type="spellStart"/>
            <w:r w:rsidRPr="00741B79">
              <w:t>Gustavson</w:t>
            </w:r>
            <w:proofErr w:type="spellEnd"/>
            <w:r w:rsidRPr="00741B79">
              <w:t xml:space="preserve"> (isikukood 38104194926)</w:t>
            </w:r>
          </w:p>
          <w:p w14:paraId="36698F66" w14:textId="77777777" w:rsidR="00AC6F9E" w:rsidRPr="00741B79" w:rsidRDefault="00AC6F9E" w:rsidP="00FE2534">
            <w:pPr>
              <w:spacing w:before="0"/>
              <w:jc w:val="both"/>
            </w:pPr>
            <w:r w:rsidRPr="00741B79">
              <w:t>Võlausaldajad:</w:t>
            </w:r>
          </w:p>
          <w:p w14:paraId="5079B474" w14:textId="322373B1" w:rsidR="00AC6F9E" w:rsidRPr="00741B79" w:rsidRDefault="00E87533" w:rsidP="00155C0C">
            <w:pPr>
              <w:spacing w:before="0" w:after="0"/>
              <w:jc w:val="both"/>
            </w:pPr>
            <w:proofErr w:type="spellStart"/>
            <w:r w:rsidRPr="00741B79">
              <w:t>Akciné</w:t>
            </w:r>
            <w:proofErr w:type="spellEnd"/>
            <w:r w:rsidRPr="00741B79">
              <w:t xml:space="preserve"> </w:t>
            </w:r>
            <w:proofErr w:type="spellStart"/>
            <w:r w:rsidRPr="00741B79">
              <w:t>draudimo</w:t>
            </w:r>
            <w:proofErr w:type="spellEnd"/>
            <w:r w:rsidRPr="00741B79">
              <w:t xml:space="preserve"> </w:t>
            </w:r>
            <w:proofErr w:type="spellStart"/>
            <w:r w:rsidRPr="00741B79">
              <w:t>bendrové</w:t>
            </w:r>
            <w:proofErr w:type="spellEnd"/>
            <w:r w:rsidRPr="00741B79">
              <w:t xml:space="preserve"> "</w:t>
            </w:r>
            <w:proofErr w:type="spellStart"/>
            <w:r w:rsidRPr="00741B79">
              <w:t>Gjensidige</w:t>
            </w:r>
            <w:proofErr w:type="spellEnd"/>
            <w:r w:rsidRPr="00741B79">
              <w:t>" Eesti filiaal (registrikood 11193232)</w:t>
            </w:r>
          </w:p>
          <w:p w14:paraId="49C6BE6D" w14:textId="6156898E" w:rsidR="00E87533" w:rsidRPr="00741B79" w:rsidRDefault="00E87533" w:rsidP="00155C0C">
            <w:pPr>
              <w:spacing w:before="0" w:after="0"/>
              <w:jc w:val="both"/>
            </w:pPr>
            <w:proofErr w:type="spellStart"/>
            <w:r w:rsidRPr="00741B79">
              <w:t>Creditstar</w:t>
            </w:r>
            <w:proofErr w:type="spellEnd"/>
            <w:r w:rsidRPr="00741B79">
              <w:t xml:space="preserve"> Estonia AS (registrikood 11251314)</w:t>
            </w:r>
          </w:p>
          <w:p w14:paraId="0B984DF6" w14:textId="7975C785" w:rsidR="00AC6F9E" w:rsidRPr="00741B79" w:rsidRDefault="00E87533" w:rsidP="00155C0C">
            <w:pPr>
              <w:spacing w:before="0" w:after="0"/>
              <w:jc w:val="both"/>
            </w:pPr>
            <w:r w:rsidRPr="00741B79">
              <w:t>BB Finance OÜ (registrikood 11306564)</w:t>
            </w:r>
          </w:p>
          <w:p w14:paraId="187FA897" w14:textId="6ED9975A" w:rsidR="00AC6F9E" w:rsidRPr="00741B79" w:rsidRDefault="00AC6F9E" w:rsidP="00155C0C">
            <w:pPr>
              <w:spacing w:before="0" w:after="0"/>
              <w:jc w:val="both"/>
            </w:pPr>
            <w:r w:rsidRPr="00741B79">
              <w:t xml:space="preserve">IPF Digital </w:t>
            </w:r>
            <w:r w:rsidR="00E87533" w:rsidRPr="00741B79">
              <w:t>AS (registrikood 11034137)</w:t>
            </w:r>
          </w:p>
          <w:p w14:paraId="5AD44C0F" w14:textId="0B3E0E41" w:rsidR="00AC6F9E" w:rsidRPr="00741B79" w:rsidRDefault="00AC6F9E" w:rsidP="00155C0C">
            <w:pPr>
              <w:spacing w:before="0" w:after="0"/>
              <w:jc w:val="both"/>
            </w:pPr>
            <w:r w:rsidRPr="00741B79">
              <w:t xml:space="preserve">Matti-Jan </w:t>
            </w:r>
            <w:proofErr w:type="spellStart"/>
            <w:r w:rsidRPr="00741B79">
              <w:t>Pitk</w:t>
            </w:r>
            <w:proofErr w:type="spellEnd"/>
            <w:r w:rsidR="00E87533" w:rsidRPr="00741B79">
              <w:t xml:space="preserve"> (isikukood 37403220222)</w:t>
            </w:r>
          </w:p>
          <w:p w14:paraId="2B1682A6" w14:textId="77777777" w:rsidR="00585DF5" w:rsidRPr="00741B79" w:rsidRDefault="00585DF5" w:rsidP="00155C0C">
            <w:pPr>
              <w:spacing w:before="0" w:after="0"/>
              <w:jc w:val="both"/>
            </w:pPr>
            <w:r w:rsidRPr="00741B79">
              <w:t>mittetulundusühing Eesti Liikluskindlustuse Fond (80206477)</w:t>
            </w:r>
          </w:p>
          <w:p w14:paraId="30035149" w14:textId="15C2BB6C" w:rsidR="00AC6F9E" w:rsidRPr="00741B79" w:rsidRDefault="00AC6F9E" w:rsidP="00155C0C">
            <w:pPr>
              <w:spacing w:before="0" w:after="0"/>
              <w:jc w:val="both"/>
            </w:pPr>
            <w:r w:rsidRPr="00741B79">
              <w:t>Tallinna Transpordiamet</w:t>
            </w:r>
            <w:r w:rsidR="00585DF5" w:rsidRPr="00741B79">
              <w:t xml:space="preserve"> (registrikood 75028252)</w:t>
            </w:r>
          </w:p>
          <w:p w14:paraId="37ADA68F" w14:textId="2F6E6E5B" w:rsidR="00AC6F9E" w:rsidRPr="00741B79" w:rsidRDefault="00AC6F9E" w:rsidP="00155C0C">
            <w:pPr>
              <w:spacing w:before="0" w:after="0"/>
              <w:jc w:val="both"/>
            </w:pPr>
            <w:r w:rsidRPr="00741B79">
              <w:t>Kohtutäitur K</w:t>
            </w:r>
            <w:r w:rsidR="00585DF5" w:rsidRPr="00741B79">
              <w:t xml:space="preserve">ristiina </w:t>
            </w:r>
            <w:proofErr w:type="spellStart"/>
            <w:r w:rsidRPr="00741B79">
              <w:t>Feinman</w:t>
            </w:r>
            <w:proofErr w:type="spellEnd"/>
            <w:r w:rsidRPr="00741B79">
              <w:t> </w:t>
            </w:r>
          </w:p>
          <w:p w14:paraId="297741E7" w14:textId="3A8C5F6B" w:rsidR="00AC6F9E" w:rsidRPr="00741B79" w:rsidRDefault="00AC6F9E" w:rsidP="00155C0C">
            <w:pPr>
              <w:spacing w:before="0" w:after="0"/>
              <w:jc w:val="both"/>
            </w:pPr>
            <w:r w:rsidRPr="00741B79">
              <w:t>Kohtutäitur K</w:t>
            </w:r>
            <w:r w:rsidR="00585DF5" w:rsidRPr="00741B79">
              <w:t xml:space="preserve">atrin </w:t>
            </w:r>
            <w:proofErr w:type="spellStart"/>
            <w:r w:rsidRPr="00741B79">
              <w:t>Vellet</w:t>
            </w:r>
            <w:proofErr w:type="spellEnd"/>
            <w:r w:rsidRPr="00741B79">
              <w:t> </w:t>
            </w:r>
          </w:p>
          <w:p w14:paraId="19971E57" w14:textId="40E10C5B" w:rsidR="00AC6F9E" w:rsidRPr="00741B79" w:rsidRDefault="00585DF5" w:rsidP="00155C0C">
            <w:pPr>
              <w:spacing w:before="0" w:after="0"/>
              <w:jc w:val="both"/>
            </w:pPr>
            <w:r w:rsidRPr="00741B79">
              <w:t>Riigi Tugiteenuste Keskus (registrikood 70007340)</w:t>
            </w:r>
          </w:p>
          <w:p w14:paraId="207053BE" w14:textId="19D0F3CE" w:rsidR="00AC6F9E" w:rsidRPr="00741B79" w:rsidRDefault="00AC6F9E" w:rsidP="00155C0C">
            <w:pPr>
              <w:spacing w:before="0" w:after="0"/>
              <w:jc w:val="both"/>
            </w:pPr>
            <w:r w:rsidRPr="00741B79">
              <w:t>Bigbank AS</w:t>
            </w:r>
            <w:r w:rsidR="00585DF5" w:rsidRPr="00741B79">
              <w:t xml:space="preserve"> (registrikood 10183757)</w:t>
            </w:r>
          </w:p>
          <w:p w14:paraId="03B050E8" w14:textId="209877A4" w:rsidR="00AC6F9E" w:rsidRPr="00741B79" w:rsidRDefault="00FE7677" w:rsidP="00155C0C">
            <w:pPr>
              <w:spacing w:before="0" w:after="0"/>
              <w:jc w:val="both"/>
            </w:pPr>
            <w:r w:rsidRPr="00741B79">
              <w:t>PG Inkasso OÜ (registrikood 11100041)</w:t>
            </w:r>
          </w:p>
          <w:p w14:paraId="53949706" w14:textId="7A8F3D3F" w:rsidR="00AC6F9E" w:rsidRPr="00741B79" w:rsidRDefault="00FE7677" w:rsidP="00155C0C">
            <w:pPr>
              <w:spacing w:before="0" w:after="0"/>
              <w:jc w:val="both"/>
            </w:pPr>
            <w:r w:rsidRPr="00741B79">
              <w:t>Telia Eesti AS (registrikood 10234957)</w:t>
            </w:r>
            <w:r w:rsidR="00AC6F9E" w:rsidRPr="00741B79">
              <w:t> </w:t>
            </w:r>
          </w:p>
          <w:p w14:paraId="4C0B9BD7" w14:textId="58966468" w:rsidR="00AC6F9E" w:rsidRPr="00741B79" w:rsidRDefault="00AC6F9E" w:rsidP="00155C0C">
            <w:pPr>
              <w:spacing w:before="0" w:after="0"/>
              <w:jc w:val="both"/>
            </w:pPr>
            <w:r w:rsidRPr="00741B79">
              <w:t xml:space="preserve">ERA Liisingu Inkassoteenused </w:t>
            </w:r>
            <w:r w:rsidR="000E577A" w:rsidRPr="00741B79">
              <w:t>OÜ</w:t>
            </w:r>
            <w:r w:rsidR="00FE7677" w:rsidRPr="00741B79">
              <w:t xml:space="preserve"> (registrikood 10625474)</w:t>
            </w:r>
          </w:p>
          <w:p w14:paraId="07988353" w14:textId="6979A849" w:rsidR="00AC6F9E" w:rsidRPr="00741B79" w:rsidRDefault="00FE7677" w:rsidP="00155C0C">
            <w:pPr>
              <w:spacing w:before="0" w:after="0"/>
              <w:jc w:val="both"/>
            </w:pPr>
            <w:r w:rsidRPr="00741B79">
              <w:t>OÜ Koduliising (registrikood 14571396)</w:t>
            </w:r>
          </w:p>
          <w:p w14:paraId="703C1F51" w14:textId="2A455B5B" w:rsidR="00FE7677" w:rsidRPr="00741B79" w:rsidRDefault="00FE7677" w:rsidP="00155C0C">
            <w:pPr>
              <w:spacing w:before="0" w:after="0"/>
              <w:jc w:val="both"/>
            </w:pPr>
            <w:r w:rsidRPr="00741B79">
              <w:t>PLACET GROUP OÜ (registrikood 11198910)</w:t>
            </w:r>
          </w:p>
          <w:p w14:paraId="2A701A61" w14:textId="052B2A6E" w:rsidR="00AC6F9E" w:rsidRPr="00741B79" w:rsidRDefault="00FE7677" w:rsidP="00155C0C">
            <w:pPr>
              <w:spacing w:before="0" w:after="0"/>
              <w:jc w:val="both"/>
            </w:pPr>
            <w:r w:rsidRPr="00741B79">
              <w:t>ERGO Insurance SE (registrikood 10017013)</w:t>
            </w:r>
            <w:r w:rsidR="00AC6F9E" w:rsidRPr="00741B79">
              <w:t> </w:t>
            </w:r>
          </w:p>
          <w:p w14:paraId="4589366D" w14:textId="43D3837F" w:rsidR="00F86D13" w:rsidRPr="00741B79" w:rsidRDefault="00F86D13" w:rsidP="00155C0C">
            <w:pPr>
              <w:spacing w:before="0" w:after="0"/>
              <w:jc w:val="both"/>
            </w:pPr>
            <w:r w:rsidRPr="00741B79">
              <w:t>Tallinna Munitsipaalpolitsei Amet (registrikood 75034502)</w:t>
            </w:r>
          </w:p>
          <w:p w14:paraId="1D93BED9" w14:textId="07B7903A" w:rsidR="00AC6F9E" w:rsidRPr="00741B79" w:rsidRDefault="00AC6F9E" w:rsidP="00155C0C">
            <w:pPr>
              <w:spacing w:before="0" w:after="0"/>
              <w:jc w:val="both"/>
            </w:pPr>
            <w:r w:rsidRPr="00741B79">
              <w:t>Tele2 Eesti A</w:t>
            </w:r>
            <w:r w:rsidR="004A1C0F" w:rsidRPr="00741B79">
              <w:t>ktsiaselts (registrikood 10069046)</w:t>
            </w:r>
          </w:p>
          <w:p w14:paraId="5CBE85DB" w14:textId="3F4207BC" w:rsidR="004A1C0F" w:rsidRPr="00741B79" w:rsidRDefault="004A1C0F" w:rsidP="00155C0C">
            <w:pPr>
              <w:spacing w:before="0" w:after="0"/>
              <w:jc w:val="both"/>
            </w:pPr>
            <w:r w:rsidRPr="00741B79">
              <w:t>Politsei- ja Piirivalveamet (registrikood 70008747)</w:t>
            </w:r>
          </w:p>
          <w:p w14:paraId="300E3DD9" w14:textId="25F6DC71" w:rsidR="004A1C0F" w:rsidRPr="00741B79" w:rsidRDefault="004A1C0F" w:rsidP="00155C0C">
            <w:pPr>
              <w:spacing w:before="0" w:after="0"/>
              <w:jc w:val="both"/>
            </w:pPr>
            <w:proofErr w:type="spellStart"/>
            <w:r w:rsidRPr="00741B79">
              <w:t>Circle</w:t>
            </w:r>
            <w:proofErr w:type="spellEnd"/>
            <w:r w:rsidRPr="00741B79">
              <w:t xml:space="preserve"> K Eesti Aktsiaselts (registrikood 10180925)</w:t>
            </w:r>
          </w:p>
          <w:p w14:paraId="59BCFAF4" w14:textId="7D6BBE10" w:rsidR="004A1C0F" w:rsidRPr="00741B79" w:rsidRDefault="004A1C0F" w:rsidP="00155C0C">
            <w:pPr>
              <w:spacing w:before="0" w:after="0"/>
              <w:jc w:val="both"/>
            </w:pPr>
            <w:r w:rsidRPr="00741B79">
              <w:t>Aktiva Finance Group OÜ (registrikood 10746479)</w:t>
            </w:r>
          </w:p>
          <w:p w14:paraId="49BA4915" w14:textId="6089A772" w:rsidR="00AC6F9E" w:rsidRPr="00741B79" w:rsidRDefault="006308C4" w:rsidP="00155C0C">
            <w:pPr>
              <w:spacing w:before="0" w:after="0"/>
              <w:jc w:val="both"/>
            </w:pPr>
            <w:r w:rsidRPr="00741B79">
              <w:t xml:space="preserve">Elektrilevi OÜ </w:t>
            </w:r>
            <w:r w:rsidR="004A1C0F" w:rsidRPr="00741B79">
              <w:t>(</w:t>
            </w:r>
            <w:r w:rsidRPr="00741B79">
              <w:t xml:space="preserve">registrikood </w:t>
            </w:r>
            <w:r w:rsidR="004A1C0F" w:rsidRPr="00741B79">
              <w:t>11050857)</w:t>
            </w:r>
          </w:p>
        </w:tc>
      </w:tr>
      <w:tr w:rsidR="00AC6F9E" w:rsidRPr="0025658E" w14:paraId="38EDB80C" w14:textId="77777777" w:rsidTr="00FE2534">
        <w:tc>
          <w:tcPr>
            <w:tcW w:w="3527" w:type="dxa"/>
          </w:tcPr>
          <w:p w14:paraId="332A132C" w14:textId="77777777" w:rsidR="00AC6F9E" w:rsidRPr="0025658E" w:rsidRDefault="00AC6F9E" w:rsidP="00FE2534">
            <w:pPr>
              <w:spacing w:before="0"/>
              <w:rPr>
                <w:b/>
              </w:rPr>
            </w:pPr>
            <w:r>
              <w:rPr>
                <w:b/>
              </w:rPr>
              <w:t>Menetlustoiming</w:t>
            </w:r>
          </w:p>
        </w:tc>
        <w:tc>
          <w:tcPr>
            <w:tcW w:w="5758" w:type="dxa"/>
          </w:tcPr>
          <w:p w14:paraId="702E3D2C" w14:textId="77777777" w:rsidR="00AC6F9E" w:rsidRPr="00E91F94" w:rsidRDefault="00AC6F9E" w:rsidP="00FE2534">
            <w:pPr>
              <w:spacing w:before="0"/>
            </w:pPr>
            <w:r>
              <w:t>Menetluse lõpetamine</w:t>
            </w:r>
          </w:p>
        </w:tc>
      </w:tr>
    </w:tbl>
    <w:p w14:paraId="12BA6FF7" w14:textId="77777777" w:rsidR="00AC6F9E" w:rsidRPr="0025658E" w:rsidRDefault="00AC6F9E" w:rsidP="00AC6F9E">
      <w:pPr>
        <w:jc w:val="both"/>
        <w:rPr>
          <w:b/>
        </w:rPr>
      </w:pPr>
    </w:p>
    <w:p w14:paraId="156614C6" w14:textId="77777777" w:rsidR="00AC6F9E" w:rsidRPr="0025658E" w:rsidRDefault="00AC6F9E" w:rsidP="00AC6F9E">
      <w:pPr>
        <w:jc w:val="both"/>
        <w:rPr>
          <w:b/>
        </w:rPr>
      </w:pPr>
      <w:r w:rsidRPr="0025658E">
        <w:rPr>
          <w:b/>
        </w:rPr>
        <w:lastRenderedPageBreak/>
        <w:t>RESOLUTSIOON</w:t>
      </w:r>
    </w:p>
    <w:p w14:paraId="0837B2B2" w14:textId="1745685B" w:rsidR="00AC6F9E" w:rsidRPr="005261ED" w:rsidRDefault="00AC6F9E" w:rsidP="003C4F3F">
      <w:pPr>
        <w:pStyle w:val="Loendilik"/>
        <w:numPr>
          <w:ilvl w:val="0"/>
          <w:numId w:val="2"/>
        </w:numPr>
        <w:ind w:left="284" w:hanging="357"/>
        <w:contextualSpacing w:val="0"/>
        <w:jc w:val="both"/>
        <w:rPr>
          <w:b/>
        </w:rPr>
      </w:pPr>
      <w:r w:rsidRPr="0025658E">
        <w:rPr>
          <w:b/>
        </w:rPr>
        <w:t xml:space="preserve">Lõpetada </w:t>
      </w:r>
      <w:r w:rsidR="005F1C46">
        <w:rPr>
          <w:b/>
        </w:rPr>
        <w:t xml:space="preserve">võlgniku </w:t>
      </w:r>
      <w:r>
        <w:rPr>
          <w:b/>
          <w:bCs/>
        </w:rPr>
        <w:t xml:space="preserve">Rain Gustavsoni </w:t>
      </w:r>
      <w:r w:rsidRPr="0025658E">
        <w:rPr>
          <w:b/>
        </w:rPr>
        <w:t>kohustustest vabastami</w:t>
      </w:r>
      <w:r>
        <w:rPr>
          <w:b/>
        </w:rPr>
        <w:t>s</w:t>
      </w:r>
      <w:r w:rsidRPr="0025658E">
        <w:rPr>
          <w:b/>
        </w:rPr>
        <w:t xml:space="preserve">e menetlus ja jätta </w:t>
      </w:r>
      <w:r>
        <w:rPr>
          <w:b/>
          <w:bCs/>
        </w:rPr>
        <w:t>Rain</w:t>
      </w:r>
      <w:r w:rsidR="003C4F3F">
        <w:rPr>
          <w:b/>
          <w:bCs/>
        </w:rPr>
        <w:t> </w:t>
      </w:r>
      <w:proofErr w:type="spellStart"/>
      <w:r>
        <w:rPr>
          <w:b/>
          <w:bCs/>
        </w:rPr>
        <w:t>Gustavson</w:t>
      </w:r>
      <w:proofErr w:type="spellEnd"/>
      <w:r w:rsidRPr="0025658E">
        <w:rPr>
          <w:b/>
          <w:bCs/>
        </w:rPr>
        <w:t xml:space="preserve"> </w:t>
      </w:r>
      <w:r w:rsidRPr="005261ED">
        <w:rPr>
          <w:b/>
        </w:rPr>
        <w:t xml:space="preserve">kohustustest vabastamata. </w:t>
      </w:r>
    </w:p>
    <w:p w14:paraId="5BCF0412" w14:textId="066D7F60" w:rsidR="00AC6F9E" w:rsidRPr="005261ED" w:rsidRDefault="00AC6F9E" w:rsidP="003C4F3F">
      <w:pPr>
        <w:pStyle w:val="Loendilik"/>
        <w:numPr>
          <w:ilvl w:val="0"/>
          <w:numId w:val="2"/>
        </w:numPr>
        <w:ind w:left="284" w:hanging="357"/>
        <w:contextualSpacing w:val="0"/>
        <w:jc w:val="both"/>
        <w:rPr>
          <w:b/>
        </w:rPr>
      </w:pPr>
      <w:r w:rsidRPr="005261ED">
        <w:rPr>
          <w:b/>
        </w:rPr>
        <w:t xml:space="preserve">Vabastada </w:t>
      </w:r>
      <w:r>
        <w:rPr>
          <w:b/>
          <w:bCs/>
        </w:rPr>
        <w:t xml:space="preserve">Rain </w:t>
      </w:r>
      <w:proofErr w:type="spellStart"/>
      <w:r>
        <w:rPr>
          <w:b/>
          <w:bCs/>
        </w:rPr>
        <w:t>Gustavson</w:t>
      </w:r>
      <w:proofErr w:type="spellEnd"/>
      <w:r w:rsidRPr="0025658E">
        <w:rPr>
          <w:b/>
          <w:bCs/>
        </w:rPr>
        <w:t xml:space="preserve"> </w:t>
      </w:r>
      <w:r w:rsidRPr="005261ED">
        <w:rPr>
          <w:b/>
        </w:rPr>
        <w:t>usaldusisiku ülesannete täitmise kohustusest.</w:t>
      </w:r>
    </w:p>
    <w:p w14:paraId="2FDC033A" w14:textId="77777777" w:rsidR="00AC6F9E" w:rsidRDefault="00AC6F9E" w:rsidP="003C4F3F">
      <w:pPr>
        <w:pStyle w:val="Loendilik"/>
        <w:numPr>
          <w:ilvl w:val="0"/>
          <w:numId w:val="2"/>
        </w:numPr>
        <w:ind w:left="284" w:hanging="357"/>
        <w:contextualSpacing w:val="0"/>
        <w:jc w:val="both"/>
        <w:rPr>
          <w:b/>
        </w:rPr>
      </w:pPr>
      <w:r w:rsidRPr="0025658E">
        <w:rPr>
          <w:b/>
        </w:rPr>
        <w:t>Avaldada käesolev määrus väljaandes Ametlikud Teadaanded.</w:t>
      </w:r>
    </w:p>
    <w:p w14:paraId="524B484D" w14:textId="77777777" w:rsidR="005F1C46" w:rsidRPr="006275E7" w:rsidRDefault="005F1C46" w:rsidP="003C4F3F">
      <w:pPr>
        <w:numPr>
          <w:ilvl w:val="0"/>
          <w:numId w:val="2"/>
        </w:numPr>
        <w:autoSpaceDN w:val="0"/>
        <w:spacing w:after="60"/>
        <w:ind w:left="284"/>
        <w:jc w:val="both"/>
        <w:rPr>
          <w:b/>
        </w:rPr>
      </w:pPr>
      <w:r w:rsidRPr="006275E7">
        <w:rPr>
          <w:b/>
        </w:rPr>
        <w:t>Jätta menetluskulud võlgniku kanda</w:t>
      </w:r>
      <w:r>
        <w:rPr>
          <w:b/>
        </w:rPr>
        <w:t>, v.a võlausaldajate menetluskulud, mis jäävad võlausaldajate endi kanda.</w:t>
      </w:r>
      <w:r w:rsidRPr="006275E7">
        <w:rPr>
          <w:b/>
        </w:rPr>
        <w:t xml:space="preserve"> </w:t>
      </w:r>
      <w:r w:rsidRPr="002B74F1">
        <w:rPr>
          <w:b/>
        </w:rPr>
        <w:t>Hüvitamisele kuuluvad menetluskulud puuduvad.</w:t>
      </w:r>
      <w:r w:rsidRPr="006275E7">
        <w:rPr>
          <w:b/>
        </w:rPr>
        <w:t xml:space="preserve"> </w:t>
      </w:r>
    </w:p>
    <w:p w14:paraId="61AB2DE1" w14:textId="77777777" w:rsidR="00AC6F9E" w:rsidRPr="0025658E" w:rsidRDefault="00AC6F9E" w:rsidP="00AC6F9E">
      <w:pPr>
        <w:jc w:val="both"/>
        <w:rPr>
          <w:bCs/>
        </w:rPr>
      </w:pPr>
    </w:p>
    <w:p w14:paraId="7F0BED32" w14:textId="77777777" w:rsidR="00AC6F9E" w:rsidRPr="0025658E" w:rsidRDefault="00AC6F9E" w:rsidP="00AC6F9E">
      <w:pPr>
        <w:jc w:val="both"/>
        <w:rPr>
          <w:b/>
        </w:rPr>
      </w:pPr>
      <w:r w:rsidRPr="0025658E">
        <w:rPr>
          <w:b/>
        </w:rPr>
        <w:t>Edasikaebamise kord</w:t>
      </w:r>
    </w:p>
    <w:p w14:paraId="07979CEA" w14:textId="77777777" w:rsidR="00AC6F9E" w:rsidRPr="0025658E" w:rsidRDefault="00AC6F9E" w:rsidP="00AC6F9E">
      <w:pPr>
        <w:jc w:val="both"/>
        <w:rPr>
          <w:bCs/>
        </w:rPr>
      </w:pPr>
      <w:r w:rsidRPr="00F458E6">
        <w:rPr>
          <w:bCs/>
        </w:rPr>
        <w:t xml:space="preserve">Käesoleva määruse peale võivad võlausaldaja ja võlgnik esitada määruskaebuse. Määruskaebus tuleb esitada </w:t>
      </w:r>
      <w:r w:rsidRPr="00F458E6">
        <w:t>Tallinna Ringkonnakohtule Harju Maakohtu kaudu 15 päeva jooksul alates määruse kättetoimetamisest.</w:t>
      </w:r>
    </w:p>
    <w:p w14:paraId="5E6B7953" w14:textId="77777777" w:rsidR="00AC6F9E" w:rsidRPr="0025658E" w:rsidRDefault="00AC6F9E" w:rsidP="00AC6F9E">
      <w:pPr>
        <w:jc w:val="both"/>
        <w:rPr>
          <w:b/>
        </w:rPr>
      </w:pPr>
    </w:p>
    <w:p w14:paraId="5C1A4775" w14:textId="77777777" w:rsidR="00AC6F9E" w:rsidRPr="0025658E" w:rsidRDefault="00AC6F9E" w:rsidP="00AC6F9E">
      <w:pPr>
        <w:jc w:val="both"/>
        <w:rPr>
          <w:b/>
        </w:rPr>
      </w:pPr>
      <w:r w:rsidRPr="0025658E">
        <w:rPr>
          <w:b/>
        </w:rPr>
        <w:t>ASJAOLUD</w:t>
      </w:r>
    </w:p>
    <w:p w14:paraId="77343954" w14:textId="5B503264" w:rsidR="00AC6F9E" w:rsidRDefault="00AC6F9E" w:rsidP="00AC6F9E">
      <w:pPr>
        <w:pStyle w:val="TekstN"/>
        <w:spacing w:before="240" w:after="240"/>
      </w:pPr>
      <w:r>
        <w:t>05.04.2019</w:t>
      </w:r>
      <w:r w:rsidRPr="0025658E">
        <w:t xml:space="preserve"> kohtumäärusega kuulutas kohus välja </w:t>
      </w:r>
      <w:r>
        <w:t>Rain Gustavsoni</w:t>
      </w:r>
      <w:r w:rsidRPr="0025658E">
        <w:t xml:space="preserve"> (edaspidi võlgnik) pankroti</w:t>
      </w:r>
      <w:r>
        <w:t>.</w:t>
      </w:r>
    </w:p>
    <w:p w14:paraId="298845F3" w14:textId="2786D858" w:rsidR="00AC6F9E" w:rsidRDefault="00AC6F9E" w:rsidP="00D43BBD">
      <w:pPr>
        <w:pStyle w:val="TekstN"/>
        <w:spacing w:before="240" w:after="240"/>
      </w:pPr>
      <w:r>
        <w:t xml:space="preserve">10.12.2019 kohtumäärusega lõpetas kohus võlgniku pankrotimenetluse ning algatas võlgniku kohustustest vabastamise menetluse. Usaldusisiku ülesandeid oli kohustatud täitma võlgnik ise. Määruse kohaselt jäi võlgniku pankrotimenetluses tunnustatud nõuete eest raha saamata järgmistel võlausaldajatel: </w:t>
      </w:r>
      <w:proofErr w:type="spellStart"/>
      <w:r w:rsidR="00E87533" w:rsidRPr="00E87533">
        <w:t>Akciné</w:t>
      </w:r>
      <w:proofErr w:type="spellEnd"/>
      <w:r w:rsidR="00E87533" w:rsidRPr="00E87533">
        <w:t xml:space="preserve"> </w:t>
      </w:r>
      <w:proofErr w:type="spellStart"/>
      <w:r w:rsidR="00E87533" w:rsidRPr="00E87533">
        <w:t>draudimo</w:t>
      </w:r>
      <w:proofErr w:type="spellEnd"/>
      <w:r w:rsidR="00E87533" w:rsidRPr="00E87533">
        <w:t xml:space="preserve"> </w:t>
      </w:r>
      <w:proofErr w:type="spellStart"/>
      <w:r w:rsidR="00E87533" w:rsidRPr="00E87533">
        <w:t>bendrové</w:t>
      </w:r>
      <w:proofErr w:type="spellEnd"/>
      <w:r w:rsidR="00E87533" w:rsidRPr="00E87533">
        <w:t xml:space="preserve"> "</w:t>
      </w:r>
      <w:proofErr w:type="spellStart"/>
      <w:r w:rsidR="00E87533" w:rsidRPr="00E87533">
        <w:t>Gjensidige</w:t>
      </w:r>
      <w:proofErr w:type="spellEnd"/>
      <w:r w:rsidR="00E87533" w:rsidRPr="00E87533">
        <w:t xml:space="preserve"> " Eesti filiaal</w:t>
      </w:r>
      <w:r w:rsidR="00626463">
        <w:t xml:space="preserve"> (endine </w:t>
      </w:r>
      <w:r w:rsidR="00626463" w:rsidRPr="00626463">
        <w:t xml:space="preserve">AAS </w:t>
      </w:r>
      <w:proofErr w:type="spellStart"/>
      <w:r w:rsidR="00626463" w:rsidRPr="00626463">
        <w:t>Gjensidige</w:t>
      </w:r>
      <w:proofErr w:type="spellEnd"/>
      <w:r w:rsidR="00626463" w:rsidRPr="00626463">
        <w:t xml:space="preserve"> Baltic Eesti  filiaal</w:t>
      </w:r>
      <w:r w:rsidR="00626463">
        <w:t>)</w:t>
      </w:r>
      <w:r>
        <w:t>,</w:t>
      </w:r>
      <w:r w:rsidR="00626463">
        <w:t xml:space="preserve"> </w:t>
      </w:r>
      <w:proofErr w:type="spellStart"/>
      <w:r w:rsidR="00626463">
        <w:t>Creditstar</w:t>
      </w:r>
      <w:proofErr w:type="spellEnd"/>
      <w:r w:rsidR="00626463">
        <w:t xml:space="preserve"> Estonia AS (endine</w:t>
      </w:r>
      <w:r>
        <w:t xml:space="preserve"> SMS Laen A</w:t>
      </w:r>
      <w:r w:rsidR="00626463">
        <w:t>S)</w:t>
      </w:r>
      <w:r>
        <w:t>,</w:t>
      </w:r>
      <w:r w:rsidR="00626463">
        <w:t xml:space="preserve"> BB Finance OÜ (endine</w:t>
      </w:r>
      <w:r>
        <w:t xml:space="preserve"> Raha24 OÜ</w:t>
      </w:r>
      <w:r w:rsidR="00626463">
        <w:t>)</w:t>
      </w:r>
      <w:r>
        <w:t xml:space="preserve">, </w:t>
      </w:r>
      <w:r w:rsidR="00626463">
        <w:t xml:space="preserve">IPF Digital AS (endine </w:t>
      </w:r>
      <w:r>
        <w:t>IPF Digital Estonia OÜ</w:t>
      </w:r>
      <w:r w:rsidR="00626463">
        <w:t xml:space="preserve"> ja </w:t>
      </w:r>
      <w:r w:rsidR="00AB1BBF">
        <w:t xml:space="preserve">endine </w:t>
      </w:r>
      <w:r w:rsidR="00626463">
        <w:t>MCB Finance Estonia OÜ)</w:t>
      </w:r>
      <w:r>
        <w:t xml:space="preserve">, Matti-Jan </w:t>
      </w:r>
      <w:proofErr w:type="spellStart"/>
      <w:r>
        <w:t>Pitk</w:t>
      </w:r>
      <w:proofErr w:type="spellEnd"/>
      <w:r>
        <w:t>,</w:t>
      </w:r>
      <w:r w:rsidR="00626463">
        <w:t xml:space="preserve"> mittetulundusühing</w:t>
      </w:r>
      <w:r>
        <w:t xml:space="preserve"> </w:t>
      </w:r>
      <w:r w:rsidR="00626463">
        <w:t xml:space="preserve">Eesti </w:t>
      </w:r>
      <w:r>
        <w:t xml:space="preserve">Liikluskindlustuse </w:t>
      </w:r>
      <w:r w:rsidR="00626463">
        <w:t>F</w:t>
      </w:r>
      <w:r>
        <w:t xml:space="preserve">ond, Tallinna Transpordiamet, </w:t>
      </w:r>
      <w:r w:rsidR="00626463">
        <w:t>k</w:t>
      </w:r>
      <w:r>
        <w:t xml:space="preserve">ohtutäitur </w:t>
      </w:r>
      <w:r w:rsidR="00626463">
        <w:t>Kr</w:t>
      </w:r>
      <w:r w:rsidR="003C4F3F">
        <w:t>i</w:t>
      </w:r>
      <w:r w:rsidR="00626463">
        <w:t xml:space="preserve">stiina </w:t>
      </w:r>
      <w:proofErr w:type="spellStart"/>
      <w:r>
        <w:t>Feinman</w:t>
      </w:r>
      <w:proofErr w:type="spellEnd"/>
      <w:r>
        <w:t xml:space="preserve">, </w:t>
      </w:r>
      <w:r w:rsidR="00626463">
        <w:t>k</w:t>
      </w:r>
      <w:r>
        <w:t>ohtutäitur K</w:t>
      </w:r>
      <w:r w:rsidR="00626463">
        <w:t xml:space="preserve">atrin </w:t>
      </w:r>
      <w:proofErr w:type="spellStart"/>
      <w:r>
        <w:t>Vellet</w:t>
      </w:r>
      <w:proofErr w:type="spellEnd"/>
      <w:r>
        <w:t xml:space="preserve">, </w:t>
      </w:r>
      <w:r w:rsidR="00626463">
        <w:t>Riigi</w:t>
      </w:r>
      <w:r w:rsidR="005F1C46">
        <w:t> </w:t>
      </w:r>
      <w:r w:rsidR="00626463">
        <w:t>Tugiteenuste Keskus</w:t>
      </w:r>
      <w:r>
        <w:t xml:space="preserve">, Bigbank AS, </w:t>
      </w:r>
      <w:r w:rsidR="00626463">
        <w:t xml:space="preserve">PG Inkasso OÜ (endine </w:t>
      </w:r>
      <w:r>
        <w:t>ITM Inkasso OÜ</w:t>
      </w:r>
      <w:r w:rsidR="00626463">
        <w:t>)</w:t>
      </w:r>
      <w:r>
        <w:t>,</w:t>
      </w:r>
      <w:r w:rsidR="00626463">
        <w:t xml:space="preserve"> Telia</w:t>
      </w:r>
      <w:r w:rsidR="00AB1BBF">
        <w:t> </w:t>
      </w:r>
      <w:r w:rsidR="00626463">
        <w:t>Eesti</w:t>
      </w:r>
      <w:r w:rsidR="00AB1BBF">
        <w:t> </w:t>
      </w:r>
      <w:r w:rsidR="00626463">
        <w:t>AS (endine</w:t>
      </w:r>
      <w:r>
        <w:t xml:space="preserve"> AS EMT</w:t>
      </w:r>
      <w:r w:rsidR="00626463">
        <w:t xml:space="preserve">, s.o </w:t>
      </w:r>
      <w:r>
        <w:t>AS Elion õiguseellane), ERA Liisingu Inkassoteenused</w:t>
      </w:r>
      <w:r w:rsidR="000E577A">
        <w:t xml:space="preserve"> OÜ (endine </w:t>
      </w:r>
      <w:r w:rsidR="000E577A" w:rsidRPr="000E577A">
        <w:t>Era Liisingu Inkassoteenused Aktsiaselts</w:t>
      </w:r>
      <w:r w:rsidR="000E577A">
        <w:t>)</w:t>
      </w:r>
      <w:r>
        <w:t xml:space="preserve">, </w:t>
      </w:r>
      <w:r w:rsidR="00626463">
        <w:t>OÜ </w:t>
      </w:r>
      <w:r>
        <w:t xml:space="preserve">Koduliising, </w:t>
      </w:r>
      <w:r w:rsidR="00626463">
        <w:t>PLACET GROUP</w:t>
      </w:r>
      <w:r>
        <w:t xml:space="preserve"> OÜ, </w:t>
      </w:r>
      <w:r w:rsidR="00626463">
        <w:t xml:space="preserve">ERGO Insurance SE (endine </w:t>
      </w:r>
      <w:r>
        <w:t>ERGO Kindlustuse A</w:t>
      </w:r>
      <w:r w:rsidR="00626463">
        <w:t>ktsiaselts)</w:t>
      </w:r>
      <w:r>
        <w:t>, Tallinna</w:t>
      </w:r>
      <w:r w:rsidR="000E577A">
        <w:t> </w:t>
      </w:r>
      <w:r>
        <w:t>Munitsipaalpolitsei</w:t>
      </w:r>
      <w:r w:rsidR="00D43BBD">
        <w:t xml:space="preserve">, </w:t>
      </w:r>
      <w:r>
        <w:t>Tele2 Eesti A</w:t>
      </w:r>
      <w:r w:rsidR="00626463">
        <w:t>ktsiaselts</w:t>
      </w:r>
      <w:r w:rsidR="00D43BBD">
        <w:t xml:space="preserve">, </w:t>
      </w:r>
      <w:r>
        <w:t>Politsei</w:t>
      </w:r>
      <w:r w:rsidR="00626463">
        <w:t>-</w:t>
      </w:r>
      <w:r>
        <w:t xml:space="preserve"> ja Piirivalveamet</w:t>
      </w:r>
      <w:r w:rsidR="00D43BBD">
        <w:t>,</w:t>
      </w:r>
      <w:r w:rsidR="00626463">
        <w:t xml:space="preserve"> </w:t>
      </w:r>
      <w:proofErr w:type="spellStart"/>
      <w:r w:rsidR="00626463">
        <w:t>Circle</w:t>
      </w:r>
      <w:proofErr w:type="spellEnd"/>
      <w:r w:rsidR="00626463">
        <w:t xml:space="preserve"> K Eesti Aktsiaselts (endine</w:t>
      </w:r>
      <w:r w:rsidR="00D43BBD">
        <w:t xml:space="preserve"> </w:t>
      </w:r>
      <w:r>
        <w:t xml:space="preserve">Statoil </w:t>
      </w:r>
      <w:proofErr w:type="spellStart"/>
      <w:r>
        <w:t>Fuel</w:t>
      </w:r>
      <w:proofErr w:type="spellEnd"/>
      <w:r>
        <w:t xml:space="preserve"> &amp; Retail Eesti </w:t>
      </w:r>
      <w:r w:rsidR="000E577A">
        <w:t>AS</w:t>
      </w:r>
      <w:r>
        <w:t>)</w:t>
      </w:r>
      <w:r w:rsidR="00D43BBD">
        <w:t xml:space="preserve">, </w:t>
      </w:r>
      <w:r w:rsidR="00626463">
        <w:t xml:space="preserve">Aktiva Finance Group OÜ (endine Osaühing </w:t>
      </w:r>
      <w:r>
        <w:t>Aktiva Finants</w:t>
      </w:r>
      <w:r w:rsidR="00626463">
        <w:t>)</w:t>
      </w:r>
      <w:r w:rsidR="00D43BBD">
        <w:t xml:space="preserve">, </w:t>
      </w:r>
      <w:r>
        <w:t>Põhja Politseiprefektuur</w:t>
      </w:r>
      <w:r w:rsidR="00626463">
        <w:t xml:space="preserve"> (kustutatud)</w:t>
      </w:r>
      <w:r w:rsidR="00D43BBD">
        <w:t xml:space="preserve">, </w:t>
      </w:r>
      <w:r>
        <w:t>Lääne Politseiprefektuur</w:t>
      </w:r>
      <w:r w:rsidR="00626463">
        <w:t xml:space="preserve"> (kustutatud)</w:t>
      </w:r>
      <w:r w:rsidR="003C4F3F">
        <w:t xml:space="preserve"> ning</w:t>
      </w:r>
      <w:r w:rsidR="00D43BBD">
        <w:t xml:space="preserve"> </w:t>
      </w:r>
      <w:r w:rsidR="006308C4">
        <w:t>„</w:t>
      </w:r>
      <w:r w:rsidRPr="006308C4">
        <w:t>OÜ Jaotusvõrk</w:t>
      </w:r>
      <w:r w:rsidR="006308C4">
        <w:t xml:space="preserve">“ ehk eelduslikult nüüdne Elektrilevi OÜ (endine </w:t>
      </w:r>
      <w:r w:rsidR="006308C4" w:rsidRPr="006308C4">
        <w:t>osaühing</w:t>
      </w:r>
      <w:r w:rsidR="006308C4">
        <w:t> </w:t>
      </w:r>
      <w:r w:rsidR="006308C4" w:rsidRPr="006308C4">
        <w:t>Jaotusvõrk</w:t>
      </w:r>
      <w:r w:rsidR="006308C4">
        <w:t xml:space="preserve">, vt ka </w:t>
      </w:r>
      <w:proofErr w:type="spellStart"/>
      <w:r w:rsidR="006308C4">
        <w:t>dtl</w:t>
      </w:r>
      <w:proofErr w:type="spellEnd"/>
      <w:r w:rsidR="006308C4">
        <w:t xml:space="preserve"> 354).</w:t>
      </w:r>
    </w:p>
    <w:p w14:paraId="2703B090" w14:textId="19DD5396" w:rsidR="00CD711B" w:rsidRDefault="00CD711B" w:rsidP="00D43BBD">
      <w:pPr>
        <w:pStyle w:val="TekstN"/>
        <w:spacing w:before="240" w:after="240"/>
      </w:pPr>
      <w:r>
        <w:t xml:space="preserve">Võlgnik esitas kohtule usaldusisiku aruanded kuni </w:t>
      </w:r>
      <w:r w:rsidR="006308C4">
        <w:t xml:space="preserve">2023. aasta lõpuni (vt viimane aruanne </w:t>
      </w:r>
      <w:proofErr w:type="spellStart"/>
      <w:r w:rsidR="006308C4">
        <w:t>dtl</w:t>
      </w:r>
      <w:proofErr w:type="spellEnd"/>
      <w:r w:rsidR="006308C4">
        <w:t xml:space="preserve"> 389 jj).</w:t>
      </w:r>
      <w:r w:rsidR="005A157D">
        <w:t xml:space="preserve"> Aruannetest ei nähtunud, et võlgnik oleks teinud võlausaldajale väljamakseid, kuid võlgnik väitis mitmes aruandes, et võlgniku eest tegi võlgniku vangistuse ajal kõnealuseid makseid Riigi Tugiteenuste Keskus (vt </w:t>
      </w:r>
      <w:proofErr w:type="spellStart"/>
      <w:r w:rsidR="005A157D">
        <w:t>dtl</w:t>
      </w:r>
      <w:proofErr w:type="spellEnd"/>
      <w:r w:rsidR="005A157D">
        <w:t xml:space="preserve"> 267, </w:t>
      </w:r>
      <w:proofErr w:type="spellStart"/>
      <w:r w:rsidR="005A157D">
        <w:t>dtl</w:t>
      </w:r>
      <w:proofErr w:type="spellEnd"/>
      <w:r w:rsidR="005A157D">
        <w:t xml:space="preserve"> 360, </w:t>
      </w:r>
      <w:proofErr w:type="spellStart"/>
      <w:r w:rsidR="005A157D">
        <w:t>dtl</w:t>
      </w:r>
      <w:proofErr w:type="spellEnd"/>
      <w:r w:rsidR="005A157D">
        <w:t xml:space="preserve"> 391). Kohus tegi seetõttu Riigi</w:t>
      </w:r>
      <w:r w:rsidR="00663DEC">
        <w:t> </w:t>
      </w:r>
      <w:r w:rsidR="005A157D">
        <w:t>Tugiteenuste Keskusele päringu (</w:t>
      </w:r>
      <w:proofErr w:type="spellStart"/>
      <w:r w:rsidR="005A157D">
        <w:t>dtl</w:t>
      </w:r>
      <w:proofErr w:type="spellEnd"/>
      <w:r w:rsidR="005A157D">
        <w:t xml:space="preserve"> 525). Riigi Tugiteenuste Keskus vastas 30.12.2024, märkides, et võlgniku kohustustest vabastamise menetluse </w:t>
      </w:r>
      <w:r w:rsidR="00663DEC">
        <w:t>jaoks</w:t>
      </w:r>
      <w:r w:rsidR="005A157D">
        <w:t xml:space="preserve"> kogunenud summad kandis Riigi Tugiteenuste Keskus edasi võlgniku vanglavälisele kontole vastavalt võlgniku taotlusele (</w:t>
      </w:r>
      <w:proofErr w:type="spellStart"/>
      <w:r w:rsidR="005A157D">
        <w:t>dtl</w:t>
      </w:r>
      <w:proofErr w:type="spellEnd"/>
      <w:r w:rsidR="005A157D">
        <w:t xml:space="preserve"> 5</w:t>
      </w:r>
      <w:r w:rsidR="00663DEC">
        <w:t>32 jj</w:t>
      </w:r>
      <w:r w:rsidR="005A157D">
        <w:t>).</w:t>
      </w:r>
    </w:p>
    <w:p w14:paraId="1EA3C67B" w14:textId="51332596" w:rsidR="00072F1B" w:rsidRDefault="00E2256A" w:rsidP="002B488B">
      <w:pPr>
        <w:pStyle w:val="TekstN"/>
        <w:spacing w:before="240" w:after="240"/>
      </w:pPr>
      <w:r>
        <w:lastRenderedPageBreak/>
        <w:t xml:space="preserve">Kohus </w:t>
      </w:r>
      <w:r w:rsidR="005F1C46">
        <w:t xml:space="preserve">määras võlgniku ärakuulamise, mis toimus </w:t>
      </w:r>
      <w:r w:rsidR="00072F1B">
        <w:t>04.03.2025</w:t>
      </w:r>
      <w:r w:rsidR="005F1C46">
        <w:t>.</w:t>
      </w:r>
      <w:r>
        <w:t xml:space="preserve"> Võlgnik väitis</w:t>
      </w:r>
      <w:r w:rsidR="003C4F3F">
        <w:t xml:space="preserve"> ärakuulamisel</w:t>
      </w:r>
      <w:r>
        <w:t xml:space="preserve">, et </w:t>
      </w:r>
      <w:r w:rsidR="00072F1B">
        <w:t xml:space="preserve">saatis viimase </w:t>
      </w:r>
      <w:r>
        <w:t xml:space="preserve">usaldusisiku aruande </w:t>
      </w:r>
      <w:r w:rsidR="00072F1B">
        <w:t>kohtule posti</w:t>
      </w:r>
      <w:r>
        <w:t xml:space="preserve"> teel. Kohus selgitas, et kohtuni see aruanne ei jõudnud</w:t>
      </w:r>
      <w:r w:rsidR="003C4F3F">
        <w:t xml:space="preserve"> ning et </w:t>
      </w:r>
      <w:r>
        <w:t xml:space="preserve">võlgnikul </w:t>
      </w:r>
      <w:r w:rsidR="003C4F3F">
        <w:t xml:space="preserve">tuleb seetõttu aruanne </w:t>
      </w:r>
      <w:r>
        <w:t>uuesti esitada. Võlgnik avaldas, et ta vabanes vanglast 202</w:t>
      </w:r>
      <w:r w:rsidR="003C4F3F">
        <w:t>4</w:t>
      </w:r>
      <w:r>
        <w:t>. aasta novembris.</w:t>
      </w:r>
      <w:r w:rsidR="00CF5DE2">
        <w:t xml:space="preserve"> Võlgniku selgituste kohaselt tegi võlgnik vanglas majandustöid, kuid tasu sai selle eest vähe, ning pigem võlgnik õppis. Tulu, mille arvel teha võlausaldajatele väljamakseid, võlgnik vanglas ei teeninud. </w:t>
      </w:r>
      <w:r w:rsidR="00072F1B">
        <w:t xml:space="preserve">Võlgnik selgitas, et </w:t>
      </w:r>
      <w:r w:rsidR="009F38FB">
        <w:t xml:space="preserve">võlgnik </w:t>
      </w:r>
      <w:r w:rsidR="00072F1B">
        <w:t>palus Riigi Tugiteenuste Keskusel teha võlausaldajatele väljamakseid</w:t>
      </w:r>
      <w:r w:rsidR="009F38FB">
        <w:t xml:space="preserve">, kuid võlgnik ei tea, kas </w:t>
      </w:r>
      <w:r w:rsidR="003C4F3F">
        <w:t>seda tehti</w:t>
      </w:r>
      <w:r w:rsidR="009F38FB">
        <w:t xml:space="preserve">. Kohus avaldas võlgnikule Riigi Tugiteenuste Keskuse vastuse kohtule (vt eelmine punkt). Kohus selgitas võlgnikule, et </w:t>
      </w:r>
      <w:r w:rsidR="009F38FB" w:rsidRPr="009F38FB">
        <w:t xml:space="preserve">koos järgmise aruandega tuleb </w:t>
      </w:r>
      <w:r w:rsidR="003C4F3F">
        <w:t xml:space="preserve">võlgnikul </w:t>
      </w:r>
      <w:r w:rsidR="009F38FB" w:rsidRPr="009F38FB">
        <w:t>kohtule esitada ka arvelduskonto väljavõte, mida kohus saab kontrollida</w:t>
      </w:r>
      <w:r w:rsidR="009F38FB">
        <w:t xml:space="preserve">, ning et kui võlgniku arvelduskontol on raha olemas (mille Riigi Tugiteenuste Keskus sinna kandis), ei tohi võlgnik seda raha ära kulutada, vaid võlgnik peab seda kasutama võlausaldajatele väljamaksete tegemiseks. Kohus arutas võlgnikuga menetluse pikendamise võimalust. Kohus leppis võlgnikuga kokku, et võlgnik esitab hiljemalt </w:t>
      </w:r>
      <w:r w:rsidR="00072F1B">
        <w:t>11.03.2025</w:t>
      </w:r>
      <w:r w:rsidR="00231C8B">
        <w:t xml:space="preserve"> </w:t>
      </w:r>
      <w:r w:rsidR="009F38FB">
        <w:t xml:space="preserve">kohtule </w:t>
      </w:r>
      <w:r w:rsidR="00231C8B">
        <w:t>viimase</w:t>
      </w:r>
      <w:r w:rsidR="00072F1B">
        <w:t xml:space="preserve"> aruande koos </w:t>
      </w:r>
      <w:r w:rsidR="009F38FB">
        <w:t xml:space="preserve">võlgniku </w:t>
      </w:r>
      <w:r w:rsidR="00072F1B">
        <w:t>arvelduskonto väljavõttega</w:t>
      </w:r>
      <w:r w:rsidR="009F38FB">
        <w:t xml:space="preserve"> (vt eelnevaga seoses 04.03.2025 ärakuulamise protokoll).</w:t>
      </w:r>
    </w:p>
    <w:p w14:paraId="3AD48EE4" w14:textId="4EB0C935" w:rsidR="00072F1B" w:rsidRDefault="009F38FB" w:rsidP="00D474EB">
      <w:pPr>
        <w:pStyle w:val="TekstN"/>
        <w:spacing w:before="240" w:after="240"/>
      </w:pPr>
      <w:r>
        <w:t xml:space="preserve">Sõltumata 04.03.2025 ärakuulamisel kokkulepitust ei esitanud võlgnik kohtule viimast aruannet </w:t>
      </w:r>
      <w:r w:rsidR="00072F1B">
        <w:t xml:space="preserve">ega arvelduskonto väljavõtet. Kohtuistungi sekretär helistas 14.03.2025 ja 17.03.2025 võlgnikule, et tuletada </w:t>
      </w:r>
      <w:r>
        <w:t>võlgnikule seda meelde</w:t>
      </w:r>
      <w:r w:rsidR="00072F1B">
        <w:t>, kuid võlgnik ei vastanud telefonile</w:t>
      </w:r>
      <w:r>
        <w:t xml:space="preserve"> (</w:t>
      </w:r>
      <w:proofErr w:type="spellStart"/>
      <w:r>
        <w:t>dtl</w:t>
      </w:r>
      <w:proofErr w:type="spellEnd"/>
      <w:r>
        <w:t xml:space="preserve"> 558).</w:t>
      </w:r>
      <w:r w:rsidR="00072F1B">
        <w:t xml:space="preserve"> Kohus saatis 17.03.2025 võlgnikule ka </w:t>
      </w:r>
      <w:r>
        <w:t xml:space="preserve">sellekohase </w:t>
      </w:r>
      <w:r w:rsidR="00072F1B">
        <w:t xml:space="preserve">e-kirja, </w:t>
      </w:r>
      <w:r>
        <w:t>määrates võlgnikule täiendava tähtaja (</w:t>
      </w:r>
      <w:proofErr w:type="spellStart"/>
      <w:r>
        <w:t>dtl</w:t>
      </w:r>
      <w:proofErr w:type="spellEnd"/>
      <w:r>
        <w:t xml:space="preserve"> 559). Kohus saatis e-kirja e-posti aadressile </w:t>
      </w:r>
      <w:r w:rsidRPr="009F38FB">
        <w:t>raingustavson32@gmail.com</w:t>
      </w:r>
      <w:r>
        <w:t xml:space="preserve"> (samas)</w:t>
      </w:r>
      <w:r w:rsidR="00072F1B">
        <w:t xml:space="preserve"> </w:t>
      </w:r>
      <w:r>
        <w:t xml:space="preserve">– mille õigsust kinnitas võlgnik 04.03.2025 ärakuulamisel (vt </w:t>
      </w:r>
      <w:proofErr w:type="spellStart"/>
      <w:r>
        <w:t>dtl</w:t>
      </w:r>
      <w:proofErr w:type="spellEnd"/>
      <w:r>
        <w:t xml:space="preserve"> 555). Võlgnik ei ole midagi täiendavat kohtule esitanud ega kohtule vastanud.</w:t>
      </w:r>
      <w:r w:rsidR="00072F1B">
        <w:t xml:space="preserve"> </w:t>
      </w:r>
    </w:p>
    <w:p w14:paraId="6BAA1949" w14:textId="761DF5D6" w:rsidR="00D43BBD" w:rsidRDefault="00D43BBD" w:rsidP="00D43BBD">
      <w:pPr>
        <w:pStyle w:val="TekstN"/>
        <w:tabs>
          <w:tab w:val="left" w:pos="284"/>
          <w:tab w:val="left" w:pos="426"/>
        </w:tabs>
        <w:spacing w:after="0"/>
      </w:pPr>
      <w:r>
        <w:t>08.04.2025</w:t>
      </w:r>
      <w:r w:rsidRPr="006275E7">
        <w:t xml:space="preserve"> kohtunõudega küsis kohus võlausaldajatelt seisukohta võlgniku kohustustest vabastamise osas. Seisukoha esitasid järgmised võlausaldajad:</w:t>
      </w:r>
    </w:p>
    <w:p w14:paraId="70BDF709" w14:textId="2B4AB10E" w:rsidR="006542D4" w:rsidRDefault="006542D4" w:rsidP="006542D4">
      <w:pPr>
        <w:pStyle w:val="TekstN"/>
        <w:numPr>
          <w:ilvl w:val="0"/>
          <w:numId w:val="7"/>
        </w:numPr>
        <w:tabs>
          <w:tab w:val="left" w:pos="284"/>
          <w:tab w:val="left" w:pos="426"/>
        </w:tabs>
        <w:spacing w:after="0"/>
      </w:pPr>
      <w:r>
        <w:t xml:space="preserve">PLACET GROUP OÜ ja PG Inkasso OÜ leidsid, et </w:t>
      </w:r>
      <w:r w:rsidR="002939AA">
        <w:t xml:space="preserve">kuna võlgnik ei ole piisaval määral võlausaldajate nõudeid rahuldanud, ei tohiks menetlust lõpetada. </w:t>
      </w:r>
      <w:r>
        <w:t xml:space="preserve">Võlausaldajad märkisid, et võlgnik ei ole neile ühtegi makset teinud. </w:t>
      </w:r>
    </w:p>
    <w:p w14:paraId="42BB1B24" w14:textId="6F23C932" w:rsidR="006542D4" w:rsidRDefault="006542D4" w:rsidP="006542D4">
      <w:pPr>
        <w:pStyle w:val="TekstN"/>
        <w:numPr>
          <w:ilvl w:val="0"/>
          <w:numId w:val="7"/>
        </w:numPr>
        <w:tabs>
          <w:tab w:val="left" w:pos="284"/>
          <w:tab w:val="left" w:pos="426"/>
        </w:tabs>
        <w:spacing w:after="0"/>
      </w:pPr>
      <w:proofErr w:type="spellStart"/>
      <w:r w:rsidRPr="00E87533">
        <w:t>Akciné</w:t>
      </w:r>
      <w:proofErr w:type="spellEnd"/>
      <w:r w:rsidRPr="00E87533">
        <w:t xml:space="preserve"> </w:t>
      </w:r>
      <w:proofErr w:type="spellStart"/>
      <w:r w:rsidRPr="00E87533">
        <w:t>draudimo</w:t>
      </w:r>
      <w:proofErr w:type="spellEnd"/>
      <w:r w:rsidRPr="00E87533">
        <w:t xml:space="preserve"> </w:t>
      </w:r>
      <w:proofErr w:type="spellStart"/>
      <w:r w:rsidRPr="00E87533">
        <w:t>bendrové</w:t>
      </w:r>
      <w:proofErr w:type="spellEnd"/>
      <w:r w:rsidRPr="00E87533">
        <w:t xml:space="preserve"> "</w:t>
      </w:r>
      <w:proofErr w:type="spellStart"/>
      <w:r w:rsidRPr="00E87533">
        <w:t>Gjensidige</w:t>
      </w:r>
      <w:proofErr w:type="spellEnd"/>
      <w:r w:rsidRPr="00E87533">
        <w:t xml:space="preserve"> " Eesti filiaal</w:t>
      </w:r>
      <w:r>
        <w:t xml:space="preserve"> leidis, et võlgnik tuleks jätta kohustustest vabastamata</w:t>
      </w:r>
      <w:r w:rsidR="003C4F3F">
        <w:t>,</w:t>
      </w:r>
      <w:r>
        <w:t xml:space="preserve"> ning arvestades võlgniku käitumist ei ole võlausaldaja hinnangul kohane ka menetluse pikendamine. Võlausaldaja märkis, et võlgnik ei ole teinud ühtegi makset. </w:t>
      </w:r>
    </w:p>
    <w:p w14:paraId="393097C2" w14:textId="77777777" w:rsidR="006542D4" w:rsidRDefault="006542D4" w:rsidP="006542D4">
      <w:pPr>
        <w:pStyle w:val="TekstN"/>
        <w:numPr>
          <w:ilvl w:val="0"/>
          <w:numId w:val="0"/>
        </w:numPr>
        <w:tabs>
          <w:tab w:val="left" w:pos="284"/>
          <w:tab w:val="left" w:pos="426"/>
        </w:tabs>
        <w:spacing w:after="0"/>
      </w:pPr>
    </w:p>
    <w:p w14:paraId="2ED0BE73" w14:textId="78C9653E" w:rsidR="006542D4" w:rsidRDefault="006542D4" w:rsidP="00D43BBD">
      <w:pPr>
        <w:pStyle w:val="TekstN"/>
        <w:tabs>
          <w:tab w:val="left" w:pos="284"/>
          <w:tab w:val="left" w:pos="426"/>
        </w:tabs>
        <w:spacing w:after="0"/>
      </w:pPr>
      <w:r>
        <w:t>Kohus küsis 29.04.2025 AS-ilt SEB Pank välja võlgniku arvelduskonto väljavõtte.</w:t>
      </w:r>
      <w:r w:rsidR="002939AA">
        <w:t xml:space="preserve"> Pank vastas kohtu päringule 30.04.2025 (</w:t>
      </w:r>
      <w:proofErr w:type="spellStart"/>
      <w:r w:rsidR="002939AA">
        <w:t>dtl</w:t>
      </w:r>
      <w:proofErr w:type="spellEnd"/>
      <w:r w:rsidR="002939AA">
        <w:t xml:space="preserve"> 578 jj).</w:t>
      </w:r>
    </w:p>
    <w:p w14:paraId="3E5ACBAD" w14:textId="77777777" w:rsidR="006542D4" w:rsidRPr="006275E7" w:rsidRDefault="006542D4" w:rsidP="006542D4">
      <w:pPr>
        <w:pStyle w:val="TekstN"/>
        <w:numPr>
          <w:ilvl w:val="0"/>
          <w:numId w:val="0"/>
        </w:numPr>
        <w:tabs>
          <w:tab w:val="left" w:pos="284"/>
          <w:tab w:val="left" w:pos="426"/>
        </w:tabs>
        <w:spacing w:after="0"/>
      </w:pPr>
    </w:p>
    <w:p w14:paraId="7A4EC0B9" w14:textId="67D91D16" w:rsidR="00AC6F9E" w:rsidRPr="0025658E" w:rsidRDefault="00710D76" w:rsidP="00AC6F9E">
      <w:pPr>
        <w:pStyle w:val="TekstN"/>
        <w:numPr>
          <w:ilvl w:val="0"/>
          <w:numId w:val="0"/>
        </w:numPr>
        <w:spacing w:before="240" w:after="240"/>
      </w:pPr>
      <w:r>
        <w:rPr>
          <w:b/>
          <w:bCs/>
        </w:rPr>
        <w:t xml:space="preserve">KOHTUMÄÄRUSE </w:t>
      </w:r>
      <w:r w:rsidR="00AC6F9E" w:rsidRPr="0025658E">
        <w:rPr>
          <w:b/>
          <w:bCs/>
        </w:rPr>
        <w:t>PÕHJENDUSED</w:t>
      </w:r>
    </w:p>
    <w:p w14:paraId="3A4470F1" w14:textId="77777777" w:rsidR="00AC6F9E" w:rsidRDefault="00AC6F9E" w:rsidP="00312CA3">
      <w:pPr>
        <w:pStyle w:val="TekstN"/>
        <w:spacing w:before="240" w:after="240"/>
      </w:pPr>
      <w:r>
        <w:t>Kuna kohustustest vabastamise avaldus esitati enne füüsilise isiku maksejõuetuse seaduse jõustumist, tuleb võlgniku kohustustest vabastamise menetlusele, sh selle lõpetamisele kohaldada pankrotiseaduse redaktsiooni, mis kehtis kuni 30.06.2022 (FIMS § 68 lg 2).</w:t>
      </w:r>
    </w:p>
    <w:p w14:paraId="603F32A6" w14:textId="649B7EE9" w:rsidR="00312CA3" w:rsidRDefault="00312CA3" w:rsidP="00312CA3">
      <w:pPr>
        <w:pStyle w:val="TekstN"/>
        <w:spacing w:before="240" w:after="240"/>
      </w:pPr>
      <w:proofErr w:type="spellStart"/>
      <w:r w:rsidRPr="00312CA3">
        <w:t>PankrS</w:t>
      </w:r>
      <w:proofErr w:type="spellEnd"/>
      <w:r w:rsidR="00985299">
        <w:rPr>
          <w:rStyle w:val="Allmrkuseviide"/>
        </w:rPr>
        <w:footnoteReference w:id="1"/>
      </w:r>
      <w:r w:rsidRPr="00312CA3">
        <w:t xml:space="preserve"> § 175 lg 1 kohaselt otsustab kohus pärast viie aasta möödumist võlgniku kohustustest vabastamise menetluse algatamisest võlgniku taotlusel tema pankrotimenetluses täitmata jäänud kohustustest vabastamise. Käesolevaks ajaks on võlgniku kohustustest </w:t>
      </w:r>
      <w:r w:rsidRPr="00312CA3">
        <w:lastRenderedPageBreak/>
        <w:t xml:space="preserve">vabastamise menetluse algatamisest möödunud viis aastat, mistõttu otsustab kohus võlgniku pankrotimenetluses täitmata jäänud kohustustest vabastamise vastavalt </w:t>
      </w:r>
      <w:proofErr w:type="spellStart"/>
      <w:r w:rsidRPr="00312CA3">
        <w:t>PankrS</w:t>
      </w:r>
      <w:proofErr w:type="spellEnd"/>
      <w:r w:rsidRPr="00312CA3">
        <w:t xml:space="preserve"> § 175 </w:t>
      </w:r>
      <w:proofErr w:type="spellStart"/>
      <w:r w:rsidRPr="00312CA3">
        <w:t>lg-le</w:t>
      </w:r>
      <w:proofErr w:type="spellEnd"/>
      <w:r w:rsidRPr="00312CA3">
        <w:t xml:space="preserve"> 1. </w:t>
      </w:r>
    </w:p>
    <w:p w14:paraId="6EADB194" w14:textId="43530E42" w:rsidR="00AC6F9E" w:rsidRDefault="00AC6F9E" w:rsidP="00985299">
      <w:pPr>
        <w:pStyle w:val="TekstN"/>
        <w:spacing w:before="240" w:after="240"/>
      </w:pPr>
      <w:r>
        <w:t xml:space="preserve">Kohustustest vabastamise menetlus on vabatahtlik menetlus, millega raskes majanduslikus olukorras olevale võlgnikule antakse võimalus uueks normaalseks majanduslikuks ja sotsiaalseks eluks. Uue võimaluse saamiseks peab võlgnik täitma kohustustest vabastamise menetlusega kaasnevaid kohustusi (vt ka Riigikohtu lahend asjas </w:t>
      </w:r>
      <w:r w:rsidRPr="00300986">
        <w:t>3</w:t>
      </w:r>
      <w:r>
        <w:noBreakHyphen/>
      </w:r>
      <w:r w:rsidRPr="00300986">
        <w:t>2</w:t>
      </w:r>
      <w:r>
        <w:noBreakHyphen/>
      </w:r>
      <w:r w:rsidRPr="00300986">
        <w:t>1-46-13</w:t>
      </w:r>
      <w:r>
        <w:t xml:space="preserve">, p 11). Võlgnik on kohustustest vabastamise menetluses muu hulgas kohustatud </w:t>
      </w:r>
      <w:r w:rsidR="00985299">
        <w:t>(i) </w:t>
      </w:r>
      <w:r w:rsidR="00985299" w:rsidRPr="00985299">
        <w:t>tegelema mõistlikult tulutoova tegevusega</w:t>
      </w:r>
      <w:r w:rsidR="00985299">
        <w:t xml:space="preserve"> ja kasutama saadud tulu (seaduses ettenähtud ulatuses) võlausaldajatele oma võlgade tasumiseks (</w:t>
      </w:r>
      <w:proofErr w:type="spellStart"/>
      <w:r w:rsidR="00985299">
        <w:t>PankrS</w:t>
      </w:r>
      <w:proofErr w:type="spellEnd"/>
      <w:r w:rsidR="00985299">
        <w:t xml:space="preserve"> § 173 lg 1 ja lg 3) ning (ii) olema kohtule kättesaadav, sh andma </w:t>
      </w:r>
      <w:r>
        <w:t>kohtule teavet oma tegevuse</w:t>
      </w:r>
      <w:r w:rsidR="00985299">
        <w:t xml:space="preserve">, </w:t>
      </w:r>
      <w:r>
        <w:t>sissetulekute ja vara kohta (</w:t>
      </w:r>
      <w:proofErr w:type="spellStart"/>
      <w:r>
        <w:t>PankrS</w:t>
      </w:r>
      <w:proofErr w:type="spellEnd"/>
      <w:r>
        <w:t xml:space="preserve"> § 173 lg 2). Kui kohus tuvastab, et võlgnik on </w:t>
      </w:r>
      <w:r w:rsidR="00985299">
        <w:t xml:space="preserve">oma kohustusi </w:t>
      </w:r>
      <w:r w:rsidRPr="00D03A0F">
        <w:rPr>
          <w:u w:val="single"/>
        </w:rPr>
        <w:t>süüliselt rikkunud</w:t>
      </w:r>
      <w:r>
        <w:t xml:space="preserve"> ning </w:t>
      </w:r>
      <w:r w:rsidRPr="00D03A0F">
        <w:rPr>
          <w:u w:val="single"/>
        </w:rPr>
        <w:t>kahjustanud sellega võlausaldajate huve</w:t>
      </w:r>
      <w:r>
        <w:t xml:space="preserve">, </w:t>
      </w:r>
      <w:r w:rsidR="00985299">
        <w:t>keeldub kohus võlgnikku kohustustest vabastamast</w:t>
      </w:r>
      <w:r>
        <w:t xml:space="preserve"> (</w:t>
      </w:r>
      <w:proofErr w:type="spellStart"/>
      <w:r>
        <w:t>PankrS</w:t>
      </w:r>
      <w:proofErr w:type="spellEnd"/>
      <w:r>
        <w:t xml:space="preserve"> § 175 lg 2 p 2). </w:t>
      </w:r>
    </w:p>
    <w:p w14:paraId="7603F6C9" w14:textId="3C60A1B7" w:rsidR="00985299" w:rsidRDefault="00AC6F9E" w:rsidP="00985299">
      <w:pPr>
        <w:pStyle w:val="TekstN"/>
        <w:spacing w:before="240" w:after="240"/>
      </w:pPr>
      <w:r w:rsidRPr="00FB3099">
        <w:t> </w:t>
      </w:r>
      <w:r w:rsidR="00072F1B">
        <w:t xml:space="preserve">Võlgnik </w:t>
      </w:r>
      <w:r w:rsidR="00280407">
        <w:t xml:space="preserve">on </w:t>
      </w:r>
      <w:r w:rsidR="00985299">
        <w:t>enamiku kohustustest vabastamise menetluses</w:t>
      </w:r>
      <w:r w:rsidR="00E6027B">
        <w:t>t</w:t>
      </w:r>
      <w:r w:rsidR="00985299">
        <w:t xml:space="preserve"> viibinud vanglas, võlgnik vabanes vanglast 202</w:t>
      </w:r>
      <w:r w:rsidR="00CF5DE2">
        <w:t>4</w:t>
      </w:r>
      <w:r w:rsidR="00985299">
        <w:t xml:space="preserve">. aasta novembris. Kuigi võlgnik väitis, et võlgniku eest tegi Riigi Tugiteenuste Keskus võlausaldajatele väljamakseid, ei vasta see väide kohtu kogutud tõenditest nähtuvalt tõele (vt ülal, p 3). Asja materjalide põhjal järeldab kohus, et võlgnik ei teinud 5 aasta pikkuse menetluse jooksul võlausaldajatele ühtegi makset. </w:t>
      </w:r>
      <w:r w:rsidR="00DC22DD">
        <w:t>Võlgnik</w:t>
      </w:r>
      <w:r w:rsidR="00985299">
        <w:t xml:space="preserve"> ei esitanud kohtule (ka pärast 04.03.2025 ärakuulamist) ühtegi tõendit, mis selle järelduse ümber lükkaks. </w:t>
      </w:r>
    </w:p>
    <w:p w14:paraId="5B991A0F" w14:textId="32A6D0CA" w:rsidR="00DC22DD" w:rsidRDefault="00DC22DD" w:rsidP="00B82341">
      <w:pPr>
        <w:pStyle w:val="TekstN"/>
        <w:spacing w:before="240" w:after="240"/>
      </w:pPr>
      <w:r>
        <w:t>Kohus märgib, et K-Raha nõuete fondi väljavõttest nähtub, et perioodil 10.12.2019</w:t>
      </w:r>
      <w:r w:rsidR="00E6027B">
        <w:t> </w:t>
      </w:r>
      <w:r>
        <w:noBreakHyphen/>
      </w:r>
      <w:r w:rsidR="00E6027B">
        <w:t> </w:t>
      </w:r>
      <w:r>
        <w:t xml:space="preserve">27.12.2024 laekus võlgniku kontole ca 9000 eurot, mis on täies ulatuses </w:t>
      </w:r>
      <w:r w:rsidR="00B82341">
        <w:t>selgitusega „</w:t>
      </w:r>
      <w:r w:rsidR="00B82341" w:rsidRPr="00B82341">
        <w:rPr>
          <w:i/>
          <w:iCs/>
        </w:rPr>
        <w:t>KVM tunnustatud nõuete katteks kogunenud raha“</w:t>
      </w:r>
      <w:r w:rsidR="00B82341">
        <w:t xml:space="preserve"> </w:t>
      </w:r>
      <w:r>
        <w:t xml:space="preserve">edasi kantud võlgniku vanglavälisele arvelduskontole </w:t>
      </w:r>
      <w:r w:rsidRPr="00742E88">
        <w:t>EE771010010186248012</w:t>
      </w:r>
      <w:r>
        <w:t xml:space="preserve"> (</w:t>
      </w:r>
      <w:proofErr w:type="spellStart"/>
      <w:r>
        <w:t>dtl</w:t>
      </w:r>
      <w:proofErr w:type="spellEnd"/>
      <w:r>
        <w:t xml:space="preserve"> 534</w:t>
      </w:r>
      <w:r w:rsidR="002939AA">
        <w:t xml:space="preserve"> jj</w:t>
      </w:r>
      <w:r>
        <w:t>).</w:t>
      </w:r>
      <w:r w:rsidR="00B82341">
        <w:t xml:space="preserve"> Kuna võlgnik jättis täitmata kohtunõude esitada kohtule selle arvelduskonto väljavõte (vt ülal, p-d 4 ja 5), nõudis kohus ise selle pangalt välja. Arvelduskonto väljavõttelt ei nähtu, et seda raha oleks kasutatud </w:t>
      </w:r>
      <w:r>
        <w:t xml:space="preserve"> võlausaldajatele väljamaksete tegemiseks</w:t>
      </w:r>
      <w:r w:rsidR="00381F1C">
        <w:t xml:space="preserve"> (</w:t>
      </w:r>
      <w:proofErr w:type="spellStart"/>
      <w:r w:rsidR="00381F1C">
        <w:t>dtl</w:t>
      </w:r>
      <w:proofErr w:type="spellEnd"/>
      <w:r w:rsidR="00381F1C">
        <w:t xml:space="preserve"> 588 jj).</w:t>
      </w:r>
      <w:r>
        <w:t xml:space="preserve"> </w:t>
      </w:r>
    </w:p>
    <w:p w14:paraId="3769B388" w14:textId="47E78F05" w:rsidR="00863C0A" w:rsidRDefault="00DC22DD" w:rsidP="001A0150">
      <w:pPr>
        <w:pStyle w:val="TekstN"/>
        <w:spacing w:before="240" w:after="240"/>
      </w:pPr>
      <w:r>
        <w:t>Eelnevat arvesse võttes leiab kohus, et võlgnik rikkus oma kohustust tegeleda</w:t>
      </w:r>
      <w:r w:rsidRPr="00985299">
        <w:t xml:space="preserve"> mõistlikult tulutoova tegevusega</w:t>
      </w:r>
      <w:r>
        <w:t xml:space="preserve"> ja </w:t>
      </w:r>
      <w:r w:rsidR="007F3A81">
        <w:t xml:space="preserve">teha võlausaldajale väljamakseid. </w:t>
      </w:r>
      <w:r>
        <w:t>Võlgnik viibis enamiku kohustustest vabastamise menetlusest vangistuses, mis takistas võlgniku</w:t>
      </w:r>
      <w:r w:rsidR="007F3A81">
        <w:t>l mõistlikku tulu teenimast. Vang</w:t>
      </w:r>
      <w:r w:rsidR="00E6027B">
        <w:t xml:space="preserve">lasse </w:t>
      </w:r>
      <w:r w:rsidR="007F3A81">
        <w:t xml:space="preserve">sattus võlgnik aga iseenda tegevuse tagajärjel. </w:t>
      </w:r>
      <w:r w:rsidR="00B82341">
        <w:t>Veelgi enam, a</w:t>
      </w:r>
      <w:r w:rsidR="007F3A81">
        <w:t xml:space="preserve">sjas esitatud tõenditest nähtub, et </w:t>
      </w:r>
      <w:r w:rsidR="00B82341">
        <w:t xml:space="preserve">sõltumata vanglasse sattumisest oli </w:t>
      </w:r>
      <w:r w:rsidR="007F3A81">
        <w:t xml:space="preserve">võlgnikul </w:t>
      </w:r>
      <w:r w:rsidR="00B82341">
        <w:t xml:space="preserve">tegelikult </w:t>
      </w:r>
      <w:r w:rsidR="007F3A81">
        <w:t xml:space="preserve">raha, mille arvel teha võlausaldajatele </w:t>
      </w:r>
      <w:r w:rsidR="00E6027B">
        <w:t xml:space="preserve">(kasvõi mingisuguses ulatuses) </w:t>
      </w:r>
      <w:r w:rsidR="007F3A81">
        <w:t>väljamakseid</w:t>
      </w:r>
      <w:r w:rsidR="00B82341">
        <w:t>, sellel eesmärgil kanti</w:t>
      </w:r>
      <w:r w:rsidR="00381F1C">
        <w:t xml:space="preserve"> pidevalt</w:t>
      </w:r>
      <w:r w:rsidR="00B82341">
        <w:t xml:space="preserve"> raha võlgniku vanglavälisele arvelduskontole</w:t>
      </w:r>
      <w:r w:rsidR="00863C0A">
        <w:t xml:space="preserve">. </w:t>
      </w:r>
      <w:r w:rsidR="00B82341">
        <w:t>Võlgnik aga ei kasutanud raha sellel eesmärgil</w:t>
      </w:r>
      <w:r w:rsidR="00863C0A">
        <w:t xml:space="preserve"> (vt eelmine punkt). </w:t>
      </w:r>
      <w:r w:rsidR="00381F1C">
        <w:t>Kohus märgib, et v</w:t>
      </w:r>
      <w:r w:rsidR="00824475">
        <w:t xml:space="preserve">õlgniku arvelduskontolt nähtub ühtlasi, et võlgnik on viimastel kuudel kandnud suuri summasid sellelt arvelduskontolt </w:t>
      </w:r>
      <w:r w:rsidR="00E6027B">
        <w:t xml:space="preserve">oma </w:t>
      </w:r>
      <w:r w:rsidR="00824475">
        <w:t>Leedu (</w:t>
      </w:r>
      <w:proofErr w:type="spellStart"/>
      <w:r w:rsidR="00824475">
        <w:t>Revolut</w:t>
      </w:r>
      <w:proofErr w:type="spellEnd"/>
      <w:r w:rsidR="00824475">
        <w:t>) arvelduskontole (</w:t>
      </w:r>
      <w:proofErr w:type="spellStart"/>
      <w:r w:rsidR="00824475">
        <w:t>dtl</w:t>
      </w:r>
      <w:proofErr w:type="spellEnd"/>
      <w:r w:rsidR="00824475">
        <w:t xml:space="preserve"> 588</w:t>
      </w:r>
      <w:r w:rsidR="00E6027B">
        <w:t> </w:t>
      </w:r>
      <w:r w:rsidR="00824475">
        <w:t xml:space="preserve">jj). </w:t>
      </w:r>
      <w:r w:rsidR="00863C0A">
        <w:t>Võlgnik on kohtu hinnangul seega minimaalselt raske hooletusega (VÕS § 104 lg 4), kuid arvestades võlausaldaja</w:t>
      </w:r>
      <w:r w:rsidR="00381F1C">
        <w:t>te</w:t>
      </w:r>
      <w:r w:rsidR="00863C0A">
        <w:t>le väljamaksete tegemata jätmisega seonduvaid asjaolusid</w:t>
      </w:r>
      <w:r w:rsidR="00E6027B">
        <w:t xml:space="preserve">, </w:t>
      </w:r>
      <w:r w:rsidR="00863C0A">
        <w:t xml:space="preserve">tõenäoliselt </w:t>
      </w:r>
      <w:r w:rsidR="00381F1C">
        <w:t xml:space="preserve">isegi </w:t>
      </w:r>
      <w:r w:rsidR="00863C0A">
        <w:t>tahtlikult (VÕS § 104 lg 5) rikkunud oma eelviidatud kohustusi.</w:t>
      </w:r>
    </w:p>
    <w:p w14:paraId="58EB80D5" w14:textId="47755B5E" w:rsidR="00312CA3" w:rsidRDefault="0072575D" w:rsidP="0019079F">
      <w:pPr>
        <w:pStyle w:val="TekstN"/>
        <w:spacing w:before="240" w:after="240"/>
      </w:pPr>
      <w:r>
        <w:t>Kohus leiab, et võlgnik on rikkunud ka kohustust olla kohtule kättesaadav</w:t>
      </w:r>
      <w:r w:rsidR="005553DC">
        <w:t xml:space="preserve"> ning </w:t>
      </w:r>
      <w:r>
        <w:t xml:space="preserve">anda kohtule infot oma tegevuse ja majandusliku seisu kohta. </w:t>
      </w:r>
      <w:r w:rsidR="00DC22DD">
        <w:t xml:space="preserve">Võlgnik ilmus 04.03.2025 ärakuulamisele, kuid </w:t>
      </w:r>
      <w:r>
        <w:t xml:space="preserve">pärast seda ei ole kohtul õnnestunud võlgnikuga kontakti saada. </w:t>
      </w:r>
      <w:r w:rsidR="00DC22DD">
        <w:t xml:space="preserve">Võlgnik jättis lubatud tähtajaks esitamata viimase aruande koos </w:t>
      </w:r>
      <w:r>
        <w:t xml:space="preserve">oma </w:t>
      </w:r>
      <w:r w:rsidR="00DC22DD">
        <w:t xml:space="preserve">arvelduskonto väljavõttega. Kohtu kõnedele ega e-kirjale </w:t>
      </w:r>
      <w:r>
        <w:t>võlgnik</w:t>
      </w:r>
      <w:r w:rsidR="00DC22DD">
        <w:t xml:space="preserve"> enam ei vastanud</w:t>
      </w:r>
      <w:r w:rsidR="005553DC">
        <w:t xml:space="preserve">. Kohus on võlgnikuga kontakti saamiseks ning võlgnikult </w:t>
      </w:r>
      <w:r w:rsidR="005553DC">
        <w:lastRenderedPageBreak/>
        <w:t>info saamiseks teinud mõistlikke pingutusi</w:t>
      </w:r>
      <w:r>
        <w:t xml:space="preserve"> (vt ülal, p 5).</w:t>
      </w:r>
      <w:r w:rsidR="005553DC">
        <w:t xml:space="preserve"> </w:t>
      </w:r>
      <w:r w:rsidR="00AC6F9E">
        <w:t xml:space="preserve">Kohustustest vabastamise menetluse läbiviimise esmaseks ja vältimatuks eelduseks on see, et võlgnik on kohtule kättesaadav ja annab kohtule infot. Praegusel juhul ei saa ka tõusetuda küsimust, kas võlgnik on aru saanud, et </w:t>
      </w:r>
      <w:r w:rsidR="005553DC">
        <w:t>võlgnikul</w:t>
      </w:r>
      <w:r w:rsidR="00AC6F9E">
        <w:t xml:space="preserve"> </w:t>
      </w:r>
      <w:r w:rsidR="00381F1C">
        <w:t xml:space="preserve">on </w:t>
      </w:r>
      <w:r w:rsidR="00AC6F9E">
        <w:t xml:space="preserve">siin menetluses selline kohustus. </w:t>
      </w:r>
      <w:r w:rsidR="00280407">
        <w:t>04.03.2025 toimunud ärakuulamise</w:t>
      </w:r>
      <w:r w:rsidR="005553DC">
        <w:t xml:space="preserve"> põhjal oli v</w:t>
      </w:r>
      <w:r w:rsidR="00AC6F9E">
        <w:t>õlgnikule selge, mis ta tegema peab ja mida kohus temalt ootab</w:t>
      </w:r>
      <w:r w:rsidR="00312CA3">
        <w:t xml:space="preserve">, kuid oma lubadusi </w:t>
      </w:r>
      <w:r w:rsidR="005553DC">
        <w:t>võlgnik</w:t>
      </w:r>
      <w:r w:rsidR="00312CA3">
        <w:t xml:space="preserve"> ei täitnud. </w:t>
      </w:r>
    </w:p>
    <w:p w14:paraId="0A6866CD" w14:textId="7C3F0E6B" w:rsidR="0024392F" w:rsidRDefault="0024392F" w:rsidP="006A3EDC">
      <w:pPr>
        <w:pStyle w:val="TekstN"/>
        <w:spacing w:before="240" w:after="240"/>
      </w:pPr>
      <w:r>
        <w:t xml:space="preserve">Kohtu hinnangul on võlgnik rikkunud </w:t>
      </w:r>
      <w:r w:rsidR="005553DC">
        <w:t>ka seda kohustust süüliselt.</w:t>
      </w:r>
      <w:r>
        <w:t xml:space="preserve"> </w:t>
      </w:r>
      <w:r w:rsidR="00863C0A">
        <w:t>V</w:t>
      </w:r>
      <w:r>
        <w:t>õlgnik kinnitas 04.03.2025 toimunud ärakuulamisel enda poolt kasutatava e-posti aadressi, millele kohus saatis täiendava meeldetuletuse</w:t>
      </w:r>
      <w:r w:rsidR="00863C0A">
        <w:t>, kuid tulutult. Kohus proovis võlgnikul</w:t>
      </w:r>
      <w:r w:rsidR="00E6027B">
        <w:t>e</w:t>
      </w:r>
      <w:r w:rsidR="00863C0A">
        <w:t xml:space="preserve"> ka helistada. Kohus järeldab, et võlgnik on pärast 04.03.2025 ärakuulamist teadlikult eiranud käesolevas asjas kohtu poolt saadetud nõudeid ja palveid kontakti võtmiseks ning info andmiseks, mistõttu võib võlgnikule </w:t>
      </w:r>
      <w:r>
        <w:t>kohtu hinnangul omistada tahtluse VÕS §</w:t>
      </w:r>
      <w:r w:rsidR="00381F1C">
        <w:t xml:space="preserve"> </w:t>
      </w:r>
      <w:r>
        <w:t>104 lg 5 tähenduses</w:t>
      </w:r>
      <w:r w:rsidR="00E6027B">
        <w:t xml:space="preserve"> ka selle kohustuse rikkumisel</w:t>
      </w:r>
      <w:r w:rsidR="00863C0A">
        <w:t>.</w:t>
      </w:r>
      <w:r>
        <w:t xml:space="preserve"> Minimaalselt on aga tegemist raske hooletusega (VÕS § 104 lg 4), arvestades kohtu korduvaid katseid võlgnikuga kontakti saada. </w:t>
      </w:r>
    </w:p>
    <w:p w14:paraId="2D1F33CC" w14:textId="10D34D0C" w:rsidR="00824475" w:rsidRPr="00863C0A" w:rsidRDefault="0024392F" w:rsidP="00025DEB">
      <w:pPr>
        <w:pStyle w:val="TekstN"/>
        <w:spacing w:before="240" w:after="240"/>
      </w:pPr>
      <w:r w:rsidRPr="00863C0A">
        <w:t xml:space="preserve">Kohtu hinnangul on selge, et võlgnik on kahjustanud ka võlausaldajate huve. </w:t>
      </w:r>
      <w:r w:rsidR="00824475">
        <w:t xml:space="preserve">Võlausaldajate peamine huvi kohustustest vabastamise menetluses on saada oma nõuded võimalikult suures ulatuses rahuldatud. </w:t>
      </w:r>
      <w:r w:rsidR="003C4F3F">
        <w:t xml:space="preserve">Samuti on </w:t>
      </w:r>
      <w:r w:rsidR="00824475" w:rsidRPr="00D03A0F">
        <w:t>võlausaldajatel õigus saada kohustustest vabastamise menetluses infot ja ülevaadet võlgniku majanduslikust seisust</w:t>
      </w:r>
      <w:r w:rsidR="003C4F3F">
        <w:t>. Praegusel hetkel ei ole võlgnik täitnud oma kohustust teha võlausaldajatele väljamakseid ning on kohut ja käesolevat menetlust pärast 04.03.2025 toimunud ärakuulamist ignoreerinud.</w:t>
      </w:r>
    </w:p>
    <w:p w14:paraId="52D33C7C" w14:textId="6D9DBDC7" w:rsidR="00343E0D" w:rsidRPr="003C4F3F" w:rsidRDefault="00450A4A" w:rsidP="00450A4A">
      <w:pPr>
        <w:pStyle w:val="TekstN"/>
        <w:spacing w:before="240" w:after="240"/>
      </w:pPr>
      <w:r w:rsidRPr="003C4F3F">
        <w:t>Eeltoodud põhjustel jätab kohus võlgniku pankrotimenetluses täitmata jäänud kohustustest vabastamata. Kohus avaldab vastava teate väljaandes Ametlikud Teadaanded (</w:t>
      </w:r>
      <w:proofErr w:type="spellStart"/>
      <w:r w:rsidRPr="003C4F3F">
        <w:t>PankrS</w:t>
      </w:r>
      <w:proofErr w:type="spellEnd"/>
      <w:r w:rsidRPr="003C4F3F">
        <w:t xml:space="preserve"> § 175 lg 7). </w:t>
      </w:r>
    </w:p>
    <w:p w14:paraId="00653C20" w14:textId="1BAE77AC" w:rsidR="00072F1B" w:rsidRPr="003C4F3F" w:rsidRDefault="003C4F3F" w:rsidP="003C4F3F">
      <w:pPr>
        <w:pStyle w:val="TekstN"/>
        <w:spacing w:before="240" w:after="240"/>
      </w:pPr>
      <w:r w:rsidRPr="003C4F3F">
        <w:t xml:space="preserve">Kohus märgib, et </w:t>
      </w:r>
      <w:r w:rsidR="0024392F" w:rsidRPr="003C4F3F">
        <w:t>ei pea põhjendatuks</w:t>
      </w:r>
      <w:r w:rsidR="00537284" w:rsidRPr="003C4F3F">
        <w:t xml:space="preserve"> </w:t>
      </w:r>
      <w:r w:rsidR="0024392F" w:rsidRPr="003C4F3F">
        <w:t>kohustustest vabastamise menetlus</w:t>
      </w:r>
      <w:r w:rsidRPr="003C4F3F">
        <w:t>t pikendada</w:t>
      </w:r>
      <w:r w:rsidR="00E6027B">
        <w:t> </w:t>
      </w:r>
      <w:r w:rsidRPr="003C4F3F">
        <w:t>(VÕS § 175 lg 5</w:t>
      </w:r>
      <w:r w:rsidRPr="003C4F3F">
        <w:rPr>
          <w:vertAlign w:val="superscript"/>
        </w:rPr>
        <w:t>1</w:t>
      </w:r>
      <w:r w:rsidRPr="003C4F3F">
        <w:t xml:space="preserve">). Kohus oli valmis seda võimalust kaaluma, kuid </w:t>
      </w:r>
      <w:r w:rsidR="00312A19">
        <w:t>(i) pä</w:t>
      </w:r>
      <w:r w:rsidRPr="003C4F3F">
        <w:t>rast seda</w:t>
      </w:r>
      <w:r w:rsidR="00312A19">
        <w:t>,</w:t>
      </w:r>
      <w:r w:rsidRPr="003C4F3F">
        <w:t xml:space="preserve"> kui kohus sai teada asjaolud, mis puudutavad võlgniku vanglavälisele arvelduskontole kantud raha kasutamist</w:t>
      </w:r>
      <w:r w:rsidR="00312A19">
        <w:t>,</w:t>
      </w:r>
      <w:r w:rsidRPr="003C4F3F">
        <w:t xml:space="preserve"> ning </w:t>
      </w:r>
      <w:r w:rsidR="00312A19">
        <w:t xml:space="preserve">arvestades, et </w:t>
      </w:r>
      <w:r w:rsidRPr="003C4F3F">
        <w:t xml:space="preserve">(ii) võlgnik ei ole pärast 04.03.2025 ärakuulamist olnud kohtule kättesaadav, ei pea kohus menetluse pikendamist põhjendatuks. </w:t>
      </w:r>
      <w:r w:rsidR="00AC6F9E" w:rsidRPr="003C4F3F">
        <w:t xml:space="preserve">Võlgniku käitumisest ja suhtumisest võib järeldada, et võlgnikul puudub huvi kohustustest vabastamise menetlust läbida ja sellega kaasnevaid kohustusi täita. Kohustustest vabastamise menetluse mõttega ei ole </w:t>
      </w:r>
      <w:r w:rsidRPr="003C4F3F">
        <w:t xml:space="preserve">ka </w:t>
      </w:r>
      <w:r w:rsidR="00AC6F9E" w:rsidRPr="003C4F3F">
        <w:t>kooskõlas see, et võlgnik ei suhtle kohtuga</w:t>
      </w:r>
      <w:r w:rsidR="00E6027B">
        <w:t> </w:t>
      </w:r>
      <w:r w:rsidR="00AC6F9E" w:rsidRPr="003C4F3F">
        <w:t>/</w:t>
      </w:r>
      <w:r w:rsidR="00E6027B">
        <w:t> </w:t>
      </w:r>
      <w:r w:rsidR="00AC6F9E" w:rsidRPr="003C4F3F">
        <w:t xml:space="preserve">ignoreerib kohtunõudeid ning kohus peab võlgnikku taga otsima. </w:t>
      </w:r>
    </w:p>
    <w:p w14:paraId="3925FAF1" w14:textId="77777777" w:rsidR="00AC6F9E" w:rsidRDefault="00AC6F9E" w:rsidP="00AC6F9E">
      <w:pPr>
        <w:pStyle w:val="TekstN"/>
        <w:spacing w:before="240" w:after="240"/>
      </w:pPr>
      <w:r w:rsidRPr="0025658E">
        <w:t>Kuna kohus lõpetab kohustuste</w:t>
      </w:r>
      <w:r>
        <w:t>st</w:t>
      </w:r>
      <w:r w:rsidRPr="0025658E">
        <w:t xml:space="preserve"> vabastamise menetluse, vabastab kohus </w:t>
      </w:r>
      <w:r>
        <w:t xml:space="preserve">võlgniku ka </w:t>
      </w:r>
      <w:r w:rsidRPr="0025658E">
        <w:t>usaldusisiku ülesannete täitmise kohustustest (</w:t>
      </w:r>
      <w:proofErr w:type="spellStart"/>
      <w:r>
        <w:t>PankrS</w:t>
      </w:r>
      <w:proofErr w:type="spellEnd"/>
      <w:r w:rsidRPr="0025658E">
        <w:t xml:space="preserve"> § </w:t>
      </w:r>
      <w:r>
        <w:t>172</w:t>
      </w:r>
      <w:r w:rsidRPr="0025658E">
        <w:t xml:space="preserve"> lg </w:t>
      </w:r>
      <w:r>
        <w:t>4</w:t>
      </w:r>
      <w:r w:rsidRPr="0025658E">
        <w:t xml:space="preserve"> </w:t>
      </w:r>
      <w:r>
        <w:t>teine lause).</w:t>
      </w:r>
    </w:p>
    <w:p w14:paraId="2D877231" w14:textId="1A1926F2" w:rsidR="005F1C46" w:rsidRPr="006275E7" w:rsidRDefault="005F1C46" w:rsidP="005F1C46">
      <w:pPr>
        <w:pStyle w:val="TekstN"/>
        <w:tabs>
          <w:tab w:val="left" w:pos="284"/>
          <w:tab w:val="left" w:pos="426"/>
        </w:tabs>
        <w:spacing w:before="240" w:after="240"/>
      </w:pPr>
      <w:r w:rsidRPr="006275E7">
        <w:t>Tegemist on menetlust lõpetava määrusega, mistõttu jaotab kohus ka menetluskulud. Kohus jätab kohustustest vabastamise menetluse kulud võlgniku kanda</w:t>
      </w:r>
      <w:r>
        <w:t>, v.a võlausaldajate menetluskulud, mis jäävad võlausaldajate endi kanda (</w:t>
      </w:r>
      <w:proofErr w:type="spellStart"/>
      <w:r>
        <w:t>TsMS</w:t>
      </w:r>
      <w:proofErr w:type="spellEnd"/>
      <w:r>
        <w:t xml:space="preserve"> § 172 lg 1).</w:t>
      </w:r>
      <w:r w:rsidRPr="006275E7">
        <w:t xml:space="preserve"> </w:t>
      </w:r>
      <w:r w:rsidRPr="005F1C46">
        <w:rPr>
          <w:rFonts w:eastAsia="Calibri"/>
        </w:rPr>
        <w:t>Kohtutoimikust ei nähtu hüvitatavate menetluskulude tekkimist, mistõttu kohus menetluskulude rahalist suurust kindlaks ei määra.</w:t>
      </w:r>
    </w:p>
    <w:p w14:paraId="2DB3C15B" w14:textId="77777777" w:rsidR="00AC6F9E" w:rsidRDefault="00AC6F9E" w:rsidP="00AC6F9E">
      <w:pPr>
        <w:spacing w:before="0" w:after="0"/>
        <w:jc w:val="both"/>
        <w:rPr>
          <w:i/>
          <w:iCs/>
        </w:rPr>
      </w:pPr>
    </w:p>
    <w:p w14:paraId="640D9686" w14:textId="77777777" w:rsidR="00AC6F9E" w:rsidRPr="0025658E" w:rsidRDefault="00AC6F9E" w:rsidP="00AC6F9E">
      <w:pPr>
        <w:spacing w:before="0" w:after="0"/>
        <w:jc w:val="both"/>
        <w:rPr>
          <w:i/>
          <w:iCs/>
        </w:rPr>
      </w:pPr>
      <w:r w:rsidRPr="0025658E">
        <w:rPr>
          <w:i/>
          <w:iCs/>
        </w:rPr>
        <w:t>/allkirjastatud digitaalselt/</w:t>
      </w:r>
    </w:p>
    <w:p w14:paraId="78548F8B" w14:textId="77777777" w:rsidR="00AC6F9E" w:rsidRPr="0025658E" w:rsidRDefault="00AC6F9E" w:rsidP="00AC6F9E">
      <w:pPr>
        <w:spacing w:before="0" w:after="0"/>
      </w:pPr>
      <w:r w:rsidRPr="0025658E">
        <w:t>Kaisa Margus</w:t>
      </w:r>
    </w:p>
    <w:p w14:paraId="2BD3C361" w14:textId="13F597F8" w:rsidR="00F01D96" w:rsidRPr="005F24FB" w:rsidRDefault="00AC6F9E" w:rsidP="003C4F3F">
      <w:pPr>
        <w:spacing w:before="0" w:after="0"/>
      </w:pPr>
      <w:r w:rsidRPr="0025658E">
        <w:t>kohtunik</w:t>
      </w:r>
    </w:p>
    <w:sectPr w:rsidR="00F01D96" w:rsidRPr="005F24FB" w:rsidSect="00AC6F9E">
      <w:headerReference w:type="default" r:id="rId9"/>
      <w:footerReference w:type="even" r:id="rId10"/>
      <w:footerReference w:type="default" r:id="rId11"/>
      <w:pgSz w:w="11906" w:h="16838"/>
      <w:pgMar w:top="1560"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9B45F" w14:textId="77777777" w:rsidR="00AC6F9E" w:rsidRDefault="00AC6F9E" w:rsidP="00AC6F9E">
      <w:pPr>
        <w:spacing w:before="0" w:after="0"/>
      </w:pPr>
      <w:r>
        <w:separator/>
      </w:r>
    </w:p>
  </w:endnote>
  <w:endnote w:type="continuationSeparator" w:id="0">
    <w:p w14:paraId="152DDCA7" w14:textId="77777777" w:rsidR="00AC6F9E" w:rsidRDefault="00AC6F9E" w:rsidP="00AC6F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FA4C6" w14:textId="77777777" w:rsidR="00537284" w:rsidRDefault="00537284" w:rsidP="00881D7E">
    <w:pPr>
      <w:pStyle w:val="Jalus"/>
      <w:framePr w:wrap="around" w:vAnchor="text" w:hAnchor="margin" w:xAlign="center" w:y="1"/>
      <w:rPr>
        <w:rStyle w:val="Lehekljenumber"/>
        <w:rFonts w:eastAsiaTheme="majorEastAsia"/>
      </w:rPr>
    </w:pPr>
    <w:r>
      <w:rPr>
        <w:rStyle w:val="Lehekljenumber"/>
        <w:rFonts w:eastAsiaTheme="majorEastAsia"/>
      </w:rPr>
      <w:fldChar w:fldCharType="begin"/>
    </w:r>
    <w:r>
      <w:rPr>
        <w:rStyle w:val="Lehekljenumber"/>
        <w:rFonts w:eastAsiaTheme="majorEastAsia"/>
      </w:rPr>
      <w:instrText xml:space="preserve">PAGE  </w:instrText>
    </w:r>
    <w:r>
      <w:rPr>
        <w:rStyle w:val="Lehekljenumber"/>
        <w:rFonts w:eastAsiaTheme="majorEastAsia"/>
      </w:rPr>
      <w:fldChar w:fldCharType="end"/>
    </w:r>
  </w:p>
  <w:p w14:paraId="4470FCFF" w14:textId="77777777" w:rsidR="00537284" w:rsidRDefault="00537284">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860155"/>
      <w:docPartObj>
        <w:docPartGallery w:val="Page Numbers (Bottom of Page)"/>
        <w:docPartUnique/>
      </w:docPartObj>
    </w:sdtPr>
    <w:sdtEndPr/>
    <w:sdtContent>
      <w:p w14:paraId="3C047A8A" w14:textId="77777777" w:rsidR="00537284" w:rsidRDefault="00537284">
        <w:pPr>
          <w:pStyle w:val="Jalus"/>
          <w:jc w:val="right"/>
        </w:pPr>
        <w:r>
          <w:fldChar w:fldCharType="begin"/>
        </w:r>
        <w:r>
          <w:instrText>PAGE   \* MERGEFORMAT</w:instrText>
        </w:r>
        <w:r>
          <w:fldChar w:fldCharType="separate"/>
        </w:r>
        <w:r>
          <w:t>2</w:t>
        </w:r>
        <w:r>
          <w:fldChar w:fldCharType="end"/>
        </w:r>
      </w:p>
    </w:sdtContent>
  </w:sdt>
  <w:p w14:paraId="12DDCEE3" w14:textId="77777777" w:rsidR="00537284" w:rsidRPr="00351AA8" w:rsidRDefault="00537284" w:rsidP="00351AA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811F0" w14:textId="77777777" w:rsidR="00AC6F9E" w:rsidRDefault="00AC6F9E" w:rsidP="00AC6F9E">
      <w:pPr>
        <w:spacing w:before="0" w:after="0"/>
      </w:pPr>
      <w:r>
        <w:separator/>
      </w:r>
    </w:p>
  </w:footnote>
  <w:footnote w:type="continuationSeparator" w:id="0">
    <w:p w14:paraId="2B1375E8" w14:textId="77777777" w:rsidR="00AC6F9E" w:rsidRDefault="00AC6F9E" w:rsidP="00AC6F9E">
      <w:pPr>
        <w:spacing w:before="0" w:after="0"/>
      </w:pPr>
      <w:r>
        <w:continuationSeparator/>
      </w:r>
    </w:p>
  </w:footnote>
  <w:footnote w:id="1">
    <w:p w14:paraId="3188CA92" w14:textId="65281C6D" w:rsidR="00985299" w:rsidRDefault="00985299">
      <w:pPr>
        <w:pStyle w:val="Allmrkusetekst"/>
      </w:pPr>
      <w:r>
        <w:rPr>
          <w:rStyle w:val="Allmrkuseviide"/>
        </w:rPr>
        <w:footnoteRef/>
      </w:r>
      <w:r>
        <w:t xml:space="preserve"> Siin ja edaspidi, kuni 30.06.2022 kehtinud redaktsioon.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BAE5" w14:textId="77777777" w:rsidR="00537284" w:rsidRDefault="00537284" w:rsidP="003D1C9F">
    <w:pPr>
      <w:jc w:val="right"/>
    </w:pPr>
  </w:p>
  <w:p w14:paraId="6684C8F1" w14:textId="77777777" w:rsidR="00537284" w:rsidRDefault="00537284" w:rsidP="00B12774">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45F1"/>
    <w:multiLevelType w:val="multilevel"/>
    <w:tmpl w:val="245EB04A"/>
    <w:lvl w:ilvl="0">
      <w:start w:val="1"/>
      <w:numFmt w:val="decimal"/>
      <w:suff w:val="space"/>
      <w:lvlText w:val="%1."/>
      <w:lvlJc w:val="left"/>
      <w:pPr>
        <w:ind w:left="0" w:firstLine="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28285E"/>
    <w:multiLevelType w:val="hybridMultilevel"/>
    <w:tmpl w:val="0E94CA8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49831F9"/>
    <w:multiLevelType w:val="hybridMultilevel"/>
    <w:tmpl w:val="BD4EE62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72D49E2"/>
    <w:multiLevelType w:val="hybridMultilevel"/>
    <w:tmpl w:val="7E4803F0"/>
    <w:lvl w:ilvl="0" w:tplc="042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777FAC"/>
    <w:multiLevelType w:val="hybridMultilevel"/>
    <w:tmpl w:val="884892E0"/>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FD72130"/>
    <w:multiLevelType w:val="multilevel"/>
    <w:tmpl w:val="241E1062"/>
    <w:lvl w:ilvl="0">
      <w:start w:val="1"/>
      <w:numFmt w:val="decimal"/>
      <w:pStyle w:val="TekstN"/>
      <w:suff w:val="space"/>
      <w:lvlText w:val="%1."/>
      <w:lvlJc w:val="left"/>
      <w:pPr>
        <w:ind w:left="0" w:firstLine="0"/>
      </w:pPr>
      <w:rPr>
        <w:b/>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0001DFF"/>
    <w:multiLevelType w:val="hybridMultilevel"/>
    <w:tmpl w:val="0CC07F9A"/>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394506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6181536">
    <w:abstractNumId w:val="1"/>
  </w:num>
  <w:num w:numId="3" w16cid:durableId="391781553">
    <w:abstractNumId w:val="6"/>
  </w:num>
  <w:num w:numId="4" w16cid:durableId="13378520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8336696">
    <w:abstractNumId w:val="4"/>
  </w:num>
  <w:num w:numId="6" w16cid:durableId="15538096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9749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F9E"/>
    <w:rsid w:val="00072F1B"/>
    <w:rsid w:val="000C3CD6"/>
    <w:rsid w:val="000E577A"/>
    <w:rsid w:val="00155C0C"/>
    <w:rsid w:val="00163D20"/>
    <w:rsid w:val="0017071D"/>
    <w:rsid w:val="00231C8B"/>
    <w:rsid w:val="0024392F"/>
    <w:rsid w:val="00273211"/>
    <w:rsid w:val="00280407"/>
    <w:rsid w:val="00283E89"/>
    <w:rsid w:val="002939AA"/>
    <w:rsid w:val="002A023E"/>
    <w:rsid w:val="002F7E8F"/>
    <w:rsid w:val="00312A19"/>
    <w:rsid w:val="00312CA3"/>
    <w:rsid w:val="003406C1"/>
    <w:rsid w:val="00343E0D"/>
    <w:rsid w:val="00381F1C"/>
    <w:rsid w:val="003C4F3F"/>
    <w:rsid w:val="0040185A"/>
    <w:rsid w:val="00450A4A"/>
    <w:rsid w:val="004A1C0F"/>
    <w:rsid w:val="004C2FE5"/>
    <w:rsid w:val="005115D5"/>
    <w:rsid w:val="00537284"/>
    <w:rsid w:val="005553DC"/>
    <w:rsid w:val="00585DF5"/>
    <w:rsid w:val="005A157D"/>
    <w:rsid w:val="005A4A98"/>
    <w:rsid w:val="005F1C46"/>
    <w:rsid w:val="005F24FB"/>
    <w:rsid w:val="00626463"/>
    <w:rsid w:val="006308C4"/>
    <w:rsid w:val="006542D4"/>
    <w:rsid w:val="00663DEC"/>
    <w:rsid w:val="00664333"/>
    <w:rsid w:val="006966A4"/>
    <w:rsid w:val="00710D76"/>
    <w:rsid w:val="0072575D"/>
    <w:rsid w:val="00741B79"/>
    <w:rsid w:val="00742E88"/>
    <w:rsid w:val="00745277"/>
    <w:rsid w:val="007F3A81"/>
    <w:rsid w:val="00806BF1"/>
    <w:rsid w:val="00824475"/>
    <w:rsid w:val="00863C0A"/>
    <w:rsid w:val="0090270A"/>
    <w:rsid w:val="0093190B"/>
    <w:rsid w:val="00931B9B"/>
    <w:rsid w:val="0093233B"/>
    <w:rsid w:val="00985299"/>
    <w:rsid w:val="009A7063"/>
    <w:rsid w:val="009B1E8E"/>
    <w:rsid w:val="009F38FB"/>
    <w:rsid w:val="00A256B1"/>
    <w:rsid w:val="00AB1BBF"/>
    <w:rsid w:val="00AC6F9E"/>
    <w:rsid w:val="00B64C2D"/>
    <w:rsid w:val="00B82341"/>
    <w:rsid w:val="00C64032"/>
    <w:rsid w:val="00CD711B"/>
    <w:rsid w:val="00CF5DE2"/>
    <w:rsid w:val="00D43BBD"/>
    <w:rsid w:val="00DC22DD"/>
    <w:rsid w:val="00E0381A"/>
    <w:rsid w:val="00E2256A"/>
    <w:rsid w:val="00E57C0B"/>
    <w:rsid w:val="00E6027B"/>
    <w:rsid w:val="00E87533"/>
    <w:rsid w:val="00EC3CF5"/>
    <w:rsid w:val="00F01D96"/>
    <w:rsid w:val="00F85BED"/>
    <w:rsid w:val="00F86D13"/>
    <w:rsid w:val="00FC3020"/>
    <w:rsid w:val="00FE767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7FC6"/>
  <w15:chartTrackingRefBased/>
  <w15:docId w15:val="{10DF97A8-2880-46CB-B9C2-A7888584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C6F9E"/>
    <w:pPr>
      <w:spacing w:before="120" w:after="120" w:line="240" w:lineRule="auto"/>
    </w:pPr>
    <w:rPr>
      <w:rFonts w:ascii="Times New Roman" w:eastAsia="Times New Roman" w:hAnsi="Times New Roman" w:cs="Times New Roman"/>
      <w:kern w:val="0"/>
      <w:sz w:val="24"/>
      <w:szCs w:val="24"/>
      <w:lang w:eastAsia="et-EE"/>
      <w14:ligatures w14:val="none"/>
    </w:rPr>
  </w:style>
  <w:style w:type="paragraph" w:styleId="Pealkiri1">
    <w:name w:val="heading 1"/>
    <w:basedOn w:val="Normaallaad"/>
    <w:next w:val="Normaallaad"/>
    <w:link w:val="Pealkiri1Mrk"/>
    <w:uiPriority w:val="9"/>
    <w:qFormat/>
    <w:rsid w:val="00AC6F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AC6F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AC6F9E"/>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AC6F9E"/>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AC6F9E"/>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AC6F9E"/>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AC6F9E"/>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AC6F9E"/>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AC6F9E"/>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AC6F9E"/>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AC6F9E"/>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AC6F9E"/>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AC6F9E"/>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AC6F9E"/>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AC6F9E"/>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AC6F9E"/>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AC6F9E"/>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AC6F9E"/>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AC6F9E"/>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AC6F9E"/>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AC6F9E"/>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AC6F9E"/>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AC6F9E"/>
    <w:pPr>
      <w:spacing w:before="160"/>
      <w:jc w:val="center"/>
    </w:pPr>
    <w:rPr>
      <w:i/>
      <w:iCs/>
      <w:color w:val="404040" w:themeColor="text1" w:themeTint="BF"/>
    </w:rPr>
  </w:style>
  <w:style w:type="character" w:customStyle="1" w:styleId="TsitaatMrk">
    <w:name w:val="Tsitaat Märk"/>
    <w:basedOn w:val="Liguvaikefont"/>
    <w:link w:val="Tsitaat"/>
    <w:uiPriority w:val="29"/>
    <w:rsid w:val="00AC6F9E"/>
    <w:rPr>
      <w:i/>
      <w:iCs/>
      <w:color w:val="404040" w:themeColor="text1" w:themeTint="BF"/>
    </w:rPr>
  </w:style>
  <w:style w:type="paragraph" w:styleId="Loendilik">
    <w:name w:val="List Paragraph"/>
    <w:basedOn w:val="Normaallaad"/>
    <w:link w:val="LoendilikMrk"/>
    <w:uiPriority w:val="34"/>
    <w:qFormat/>
    <w:rsid w:val="00AC6F9E"/>
    <w:pPr>
      <w:ind w:left="720"/>
      <w:contextualSpacing/>
    </w:pPr>
  </w:style>
  <w:style w:type="character" w:styleId="Selgeltmrgatavrhutus">
    <w:name w:val="Intense Emphasis"/>
    <w:basedOn w:val="Liguvaikefont"/>
    <w:uiPriority w:val="21"/>
    <w:qFormat/>
    <w:rsid w:val="00AC6F9E"/>
    <w:rPr>
      <w:i/>
      <w:iCs/>
      <w:color w:val="2F5496" w:themeColor="accent1" w:themeShade="BF"/>
    </w:rPr>
  </w:style>
  <w:style w:type="paragraph" w:styleId="Selgeltmrgatavtsitaat">
    <w:name w:val="Intense Quote"/>
    <w:basedOn w:val="Normaallaad"/>
    <w:next w:val="Normaallaad"/>
    <w:link w:val="SelgeltmrgatavtsitaatMrk"/>
    <w:uiPriority w:val="30"/>
    <w:qFormat/>
    <w:rsid w:val="00AC6F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AC6F9E"/>
    <w:rPr>
      <w:i/>
      <w:iCs/>
      <w:color w:val="2F5496" w:themeColor="accent1" w:themeShade="BF"/>
    </w:rPr>
  </w:style>
  <w:style w:type="character" w:styleId="Selgeltmrgatavviide">
    <w:name w:val="Intense Reference"/>
    <w:basedOn w:val="Liguvaikefont"/>
    <w:uiPriority w:val="32"/>
    <w:qFormat/>
    <w:rsid w:val="00AC6F9E"/>
    <w:rPr>
      <w:b/>
      <w:bCs/>
      <w:smallCaps/>
      <w:color w:val="2F5496" w:themeColor="accent1" w:themeShade="BF"/>
      <w:spacing w:val="5"/>
    </w:rPr>
  </w:style>
  <w:style w:type="paragraph" w:styleId="Pis">
    <w:name w:val="header"/>
    <w:basedOn w:val="Normaallaad"/>
    <w:link w:val="PisMrk"/>
    <w:uiPriority w:val="99"/>
    <w:rsid w:val="00AC6F9E"/>
  </w:style>
  <w:style w:type="character" w:customStyle="1" w:styleId="PisMrk">
    <w:name w:val="Päis Märk"/>
    <w:basedOn w:val="Liguvaikefont"/>
    <w:link w:val="Pis"/>
    <w:uiPriority w:val="99"/>
    <w:rsid w:val="00AC6F9E"/>
    <w:rPr>
      <w:rFonts w:ascii="Times New Roman" w:eastAsia="Times New Roman" w:hAnsi="Times New Roman" w:cs="Times New Roman"/>
      <w:kern w:val="0"/>
      <w:sz w:val="24"/>
      <w:szCs w:val="24"/>
      <w:lang w:eastAsia="et-EE"/>
      <w14:ligatures w14:val="none"/>
    </w:rPr>
  </w:style>
  <w:style w:type="character" w:styleId="Hperlink">
    <w:name w:val="Hyperlink"/>
    <w:rsid w:val="00AC6F9E"/>
    <w:rPr>
      <w:color w:val="0000FF"/>
      <w:u w:val="single"/>
    </w:rPr>
  </w:style>
  <w:style w:type="paragraph" w:styleId="Jalus">
    <w:name w:val="footer"/>
    <w:basedOn w:val="Normaallaad"/>
    <w:link w:val="JalusMrk"/>
    <w:uiPriority w:val="99"/>
    <w:rsid w:val="00AC6F9E"/>
    <w:pPr>
      <w:tabs>
        <w:tab w:val="center" w:pos="4703"/>
        <w:tab w:val="right" w:pos="9406"/>
      </w:tabs>
    </w:pPr>
  </w:style>
  <w:style w:type="character" w:customStyle="1" w:styleId="JalusMrk">
    <w:name w:val="Jalus Märk"/>
    <w:basedOn w:val="Liguvaikefont"/>
    <w:link w:val="Jalus"/>
    <w:uiPriority w:val="99"/>
    <w:rsid w:val="00AC6F9E"/>
    <w:rPr>
      <w:rFonts w:ascii="Times New Roman" w:eastAsia="Times New Roman" w:hAnsi="Times New Roman" w:cs="Times New Roman"/>
      <w:kern w:val="0"/>
      <w:sz w:val="24"/>
      <w:szCs w:val="24"/>
      <w:lang w:eastAsia="et-EE"/>
      <w14:ligatures w14:val="none"/>
    </w:rPr>
  </w:style>
  <w:style w:type="character" w:styleId="Lehekljenumber">
    <w:name w:val="page number"/>
    <w:basedOn w:val="Liguvaikefont"/>
    <w:rsid w:val="00AC6F9E"/>
  </w:style>
  <w:style w:type="paragraph" w:customStyle="1" w:styleId="TekstN">
    <w:name w:val="TekstN"/>
    <w:basedOn w:val="Normaallaad"/>
    <w:qFormat/>
    <w:rsid w:val="00AC6F9E"/>
    <w:pPr>
      <w:numPr>
        <w:numId w:val="1"/>
      </w:numPr>
      <w:spacing w:before="0"/>
      <w:jc w:val="both"/>
      <w:outlineLvl w:val="0"/>
    </w:pPr>
    <w:rPr>
      <w:rFonts w:eastAsia="MS Mincho"/>
      <w:lang w:eastAsia="zh-CN"/>
    </w:rPr>
  </w:style>
  <w:style w:type="paragraph" w:styleId="Allmrkusetekst">
    <w:name w:val="footnote text"/>
    <w:basedOn w:val="Normaallaad"/>
    <w:link w:val="AllmrkusetekstMrk"/>
    <w:rsid w:val="00AC6F9E"/>
    <w:pPr>
      <w:spacing w:before="0" w:after="0"/>
    </w:pPr>
    <w:rPr>
      <w:sz w:val="20"/>
      <w:szCs w:val="20"/>
    </w:rPr>
  </w:style>
  <w:style w:type="character" w:customStyle="1" w:styleId="AllmrkusetekstMrk">
    <w:name w:val="Allmärkuse tekst Märk"/>
    <w:basedOn w:val="Liguvaikefont"/>
    <w:link w:val="Allmrkusetekst"/>
    <w:rsid w:val="00AC6F9E"/>
    <w:rPr>
      <w:rFonts w:ascii="Times New Roman" w:eastAsia="Times New Roman" w:hAnsi="Times New Roman" w:cs="Times New Roman"/>
      <w:kern w:val="0"/>
      <w:sz w:val="20"/>
      <w:szCs w:val="20"/>
      <w:lang w:eastAsia="et-EE"/>
      <w14:ligatures w14:val="none"/>
    </w:rPr>
  </w:style>
  <w:style w:type="character" w:styleId="Allmrkuseviide">
    <w:name w:val="footnote reference"/>
    <w:basedOn w:val="Liguvaikefont"/>
    <w:rsid w:val="00AC6F9E"/>
    <w:rPr>
      <w:vertAlign w:val="superscript"/>
    </w:rPr>
  </w:style>
  <w:style w:type="character" w:customStyle="1" w:styleId="LoendilikMrk">
    <w:name w:val="Loendi lõik Märk"/>
    <w:basedOn w:val="Liguvaikefont"/>
    <w:link w:val="Loendilik"/>
    <w:uiPriority w:val="34"/>
    <w:rsid w:val="00D43BBD"/>
    <w:rPr>
      <w:rFonts w:ascii="Times New Roman" w:eastAsia="Times New Roman" w:hAnsi="Times New Roman" w:cs="Times New Roman"/>
      <w:kern w:val="0"/>
      <w:sz w:val="24"/>
      <w:szCs w:val="24"/>
      <w:lang w:eastAsia="et-EE"/>
      <w14:ligatures w14:val="none"/>
    </w:rPr>
  </w:style>
  <w:style w:type="character" w:styleId="Lahendamatamainimine">
    <w:name w:val="Unresolved Mention"/>
    <w:basedOn w:val="Liguvaikefont"/>
    <w:uiPriority w:val="99"/>
    <w:semiHidden/>
    <w:unhideWhenUsed/>
    <w:rsid w:val="00280407"/>
    <w:rPr>
      <w:color w:val="605E5C"/>
      <w:shd w:val="clear" w:color="auto" w:fill="E1DFDD"/>
    </w:rPr>
  </w:style>
  <w:style w:type="character" w:styleId="Kommentaariviide">
    <w:name w:val="annotation reference"/>
    <w:basedOn w:val="Liguvaikefont"/>
    <w:uiPriority w:val="99"/>
    <w:semiHidden/>
    <w:unhideWhenUsed/>
    <w:rsid w:val="00664333"/>
    <w:rPr>
      <w:sz w:val="16"/>
      <w:szCs w:val="16"/>
    </w:rPr>
  </w:style>
  <w:style w:type="paragraph" w:styleId="Kommentaaritekst">
    <w:name w:val="annotation text"/>
    <w:basedOn w:val="Normaallaad"/>
    <w:link w:val="KommentaaritekstMrk"/>
    <w:uiPriority w:val="99"/>
    <w:unhideWhenUsed/>
    <w:rsid w:val="00664333"/>
    <w:rPr>
      <w:sz w:val="20"/>
      <w:szCs w:val="20"/>
    </w:rPr>
  </w:style>
  <w:style w:type="character" w:customStyle="1" w:styleId="KommentaaritekstMrk">
    <w:name w:val="Kommentaari tekst Märk"/>
    <w:basedOn w:val="Liguvaikefont"/>
    <w:link w:val="Kommentaaritekst"/>
    <w:uiPriority w:val="99"/>
    <w:rsid w:val="00664333"/>
    <w:rPr>
      <w:rFonts w:ascii="Times New Roman" w:eastAsia="Times New Roman" w:hAnsi="Times New Roman" w:cs="Times New Roman"/>
      <w:kern w:val="0"/>
      <w:sz w:val="20"/>
      <w:szCs w:val="20"/>
      <w:lang w:eastAsia="et-EE"/>
      <w14:ligatures w14:val="none"/>
    </w:rPr>
  </w:style>
  <w:style w:type="paragraph" w:styleId="Kommentaariteema">
    <w:name w:val="annotation subject"/>
    <w:basedOn w:val="Kommentaaritekst"/>
    <w:next w:val="Kommentaaritekst"/>
    <w:link w:val="KommentaariteemaMrk"/>
    <w:uiPriority w:val="99"/>
    <w:semiHidden/>
    <w:unhideWhenUsed/>
    <w:rsid w:val="00664333"/>
    <w:rPr>
      <w:b/>
      <w:bCs/>
    </w:rPr>
  </w:style>
  <w:style w:type="character" w:customStyle="1" w:styleId="KommentaariteemaMrk">
    <w:name w:val="Kommentaari teema Märk"/>
    <w:basedOn w:val="KommentaaritekstMrk"/>
    <w:link w:val="Kommentaariteema"/>
    <w:uiPriority w:val="99"/>
    <w:semiHidden/>
    <w:rsid w:val="00664333"/>
    <w:rPr>
      <w:rFonts w:ascii="Times New Roman" w:eastAsia="Times New Roman" w:hAnsi="Times New Roman" w:cs="Times New Roman"/>
      <w:b/>
      <w:bCs/>
      <w:kern w:val="0"/>
      <w:sz w:val="20"/>
      <w:szCs w:val="20"/>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55645">
      <w:bodyDiv w:val="1"/>
      <w:marLeft w:val="0"/>
      <w:marRight w:val="0"/>
      <w:marTop w:val="0"/>
      <w:marBottom w:val="0"/>
      <w:divBdr>
        <w:top w:val="none" w:sz="0" w:space="0" w:color="auto"/>
        <w:left w:val="none" w:sz="0" w:space="0" w:color="auto"/>
        <w:bottom w:val="none" w:sz="0" w:space="0" w:color="auto"/>
        <w:right w:val="none" w:sz="0" w:space="0" w:color="auto"/>
      </w:divBdr>
      <w:divsChild>
        <w:div w:id="1497378700">
          <w:marLeft w:val="0"/>
          <w:marRight w:val="0"/>
          <w:marTop w:val="0"/>
          <w:marBottom w:val="0"/>
          <w:divBdr>
            <w:top w:val="none" w:sz="0" w:space="0" w:color="auto"/>
            <w:left w:val="none" w:sz="0" w:space="0" w:color="auto"/>
            <w:bottom w:val="none" w:sz="0" w:space="0" w:color="auto"/>
            <w:right w:val="none" w:sz="0" w:space="0" w:color="auto"/>
          </w:divBdr>
        </w:div>
        <w:div w:id="318657482">
          <w:marLeft w:val="0"/>
          <w:marRight w:val="0"/>
          <w:marTop w:val="0"/>
          <w:marBottom w:val="0"/>
          <w:divBdr>
            <w:top w:val="none" w:sz="0" w:space="0" w:color="auto"/>
            <w:left w:val="none" w:sz="0" w:space="0" w:color="auto"/>
            <w:bottom w:val="none" w:sz="0" w:space="0" w:color="auto"/>
            <w:right w:val="none" w:sz="0" w:space="0" w:color="auto"/>
          </w:divBdr>
        </w:div>
      </w:divsChild>
    </w:div>
    <w:div w:id="213660186">
      <w:bodyDiv w:val="1"/>
      <w:marLeft w:val="0"/>
      <w:marRight w:val="0"/>
      <w:marTop w:val="0"/>
      <w:marBottom w:val="0"/>
      <w:divBdr>
        <w:top w:val="none" w:sz="0" w:space="0" w:color="auto"/>
        <w:left w:val="none" w:sz="0" w:space="0" w:color="auto"/>
        <w:bottom w:val="none" w:sz="0" w:space="0" w:color="auto"/>
        <w:right w:val="none" w:sz="0" w:space="0" w:color="auto"/>
      </w:divBdr>
      <w:divsChild>
        <w:div w:id="1117066814">
          <w:marLeft w:val="0"/>
          <w:marRight w:val="0"/>
          <w:marTop w:val="0"/>
          <w:marBottom w:val="0"/>
          <w:divBdr>
            <w:top w:val="none" w:sz="0" w:space="0" w:color="auto"/>
            <w:left w:val="none" w:sz="0" w:space="0" w:color="auto"/>
            <w:bottom w:val="none" w:sz="0" w:space="0" w:color="auto"/>
            <w:right w:val="none" w:sz="0" w:space="0" w:color="auto"/>
          </w:divBdr>
        </w:div>
        <w:div w:id="1773359517">
          <w:marLeft w:val="0"/>
          <w:marRight w:val="0"/>
          <w:marTop w:val="0"/>
          <w:marBottom w:val="0"/>
          <w:divBdr>
            <w:top w:val="none" w:sz="0" w:space="0" w:color="auto"/>
            <w:left w:val="none" w:sz="0" w:space="0" w:color="auto"/>
            <w:bottom w:val="none" w:sz="0" w:space="0" w:color="auto"/>
            <w:right w:val="none" w:sz="0" w:space="0" w:color="auto"/>
          </w:divBdr>
        </w:div>
      </w:divsChild>
    </w:div>
    <w:div w:id="260186521">
      <w:bodyDiv w:val="1"/>
      <w:marLeft w:val="0"/>
      <w:marRight w:val="0"/>
      <w:marTop w:val="0"/>
      <w:marBottom w:val="0"/>
      <w:divBdr>
        <w:top w:val="none" w:sz="0" w:space="0" w:color="auto"/>
        <w:left w:val="none" w:sz="0" w:space="0" w:color="auto"/>
        <w:bottom w:val="none" w:sz="0" w:space="0" w:color="auto"/>
        <w:right w:val="none" w:sz="0" w:space="0" w:color="auto"/>
      </w:divBdr>
      <w:divsChild>
        <w:div w:id="951937359">
          <w:marLeft w:val="0"/>
          <w:marRight w:val="0"/>
          <w:marTop w:val="0"/>
          <w:marBottom w:val="0"/>
          <w:divBdr>
            <w:top w:val="none" w:sz="0" w:space="0" w:color="auto"/>
            <w:left w:val="none" w:sz="0" w:space="0" w:color="auto"/>
            <w:bottom w:val="none" w:sz="0" w:space="0" w:color="auto"/>
            <w:right w:val="none" w:sz="0" w:space="0" w:color="auto"/>
          </w:divBdr>
        </w:div>
        <w:div w:id="389694152">
          <w:marLeft w:val="0"/>
          <w:marRight w:val="0"/>
          <w:marTop w:val="0"/>
          <w:marBottom w:val="0"/>
          <w:divBdr>
            <w:top w:val="none" w:sz="0" w:space="0" w:color="auto"/>
            <w:left w:val="none" w:sz="0" w:space="0" w:color="auto"/>
            <w:bottom w:val="none" w:sz="0" w:space="0" w:color="auto"/>
            <w:right w:val="none" w:sz="0" w:space="0" w:color="auto"/>
          </w:divBdr>
        </w:div>
      </w:divsChild>
    </w:div>
    <w:div w:id="435945536">
      <w:bodyDiv w:val="1"/>
      <w:marLeft w:val="0"/>
      <w:marRight w:val="0"/>
      <w:marTop w:val="0"/>
      <w:marBottom w:val="0"/>
      <w:divBdr>
        <w:top w:val="none" w:sz="0" w:space="0" w:color="auto"/>
        <w:left w:val="none" w:sz="0" w:space="0" w:color="auto"/>
        <w:bottom w:val="none" w:sz="0" w:space="0" w:color="auto"/>
        <w:right w:val="none" w:sz="0" w:space="0" w:color="auto"/>
      </w:divBdr>
      <w:divsChild>
        <w:div w:id="1624997514">
          <w:marLeft w:val="0"/>
          <w:marRight w:val="0"/>
          <w:marTop w:val="0"/>
          <w:marBottom w:val="0"/>
          <w:divBdr>
            <w:top w:val="none" w:sz="0" w:space="0" w:color="auto"/>
            <w:left w:val="none" w:sz="0" w:space="0" w:color="auto"/>
            <w:bottom w:val="none" w:sz="0" w:space="0" w:color="auto"/>
            <w:right w:val="none" w:sz="0" w:space="0" w:color="auto"/>
          </w:divBdr>
        </w:div>
      </w:divsChild>
    </w:div>
    <w:div w:id="452358855">
      <w:bodyDiv w:val="1"/>
      <w:marLeft w:val="0"/>
      <w:marRight w:val="0"/>
      <w:marTop w:val="0"/>
      <w:marBottom w:val="0"/>
      <w:divBdr>
        <w:top w:val="none" w:sz="0" w:space="0" w:color="auto"/>
        <w:left w:val="none" w:sz="0" w:space="0" w:color="auto"/>
        <w:bottom w:val="none" w:sz="0" w:space="0" w:color="auto"/>
        <w:right w:val="none" w:sz="0" w:space="0" w:color="auto"/>
      </w:divBdr>
      <w:divsChild>
        <w:div w:id="1218010808">
          <w:marLeft w:val="0"/>
          <w:marRight w:val="0"/>
          <w:marTop w:val="0"/>
          <w:marBottom w:val="0"/>
          <w:divBdr>
            <w:top w:val="none" w:sz="0" w:space="0" w:color="auto"/>
            <w:left w:val="none" w:sz="0" w:space="0" w:color="auto"/>
            <w:bottom w:val="none" w:sz="0" w:space="0" w:color="auto"/>
            <w:right w:val="none" w:sz="0" w:space="0" w:color="auto"/>
          </w:divBdr>
        </w:div>
        <w:div w:id="1468627086">
          <w:marLeft w:val="0"/>
          <w:marRight w:val="0"/>
          <w:marTop w:val="0"/>
          <w:marBottom w:val="0"/>
          <w:divBdr>
            <w:top w:val="none" w:sz="0" w:space="0" w:color="auto"/>
            <w:left w:val="none" w:sz="0" w:space="0" w:color="auto"/>
            <w:bottom w:val="none" w:sz="0" w:space="0" w:color="auto"/>
            <w:right w:val="none" w:sz="0" w:space="0" w:color="auto"/>
          </w:divBdr>
        </w:div>
      </w:divsChild>
    </w:div>
    <w:div w:id="532307639">
      <w:bodyDiv w:val="1"/>
      <w:marLeft w:val="0"/>
      <w:marRight w:val="0"/>
      <w:marTop w:val="0"/>
      <w:marBottom w:val="0"/>
      <w:divBdr>
        <w:top w:val="none" w:sz="0" w:space="0" w:color="auto"/>
        <w:left w:val="none" w:sz="0" w:space="0" w:color="auto"/>
        <w:bottom w:val="none" w:sz="0" w:space="0" w:color="auto"/>
        <w:right w:val="none" w:sz="0" w:space="0" w:color="auto"/>
      </w:divBdr>
      <w:divsChild>
        <w:div w:id="919750935">
          <w:marLeft w:val="0"/>
          <w:marRight w:val="0"/>
          <w:marTop w:val="0"/>
          <w:marBottom w:val="0"/>
          <w:divBdr>
            <w:top w:val="none" w:sz="0" w:space="0" w:color="auto"/>
            <w:left w:val="none" w:sz="0" w:space="0" w:color="auto"/>
            <w:bottom w:val="none" w:sz="0" w:space="0" w:color="auto"/>
            <w:right w:val="none" w:sz="0" w:space="0" w:color="auto"/>
          </w:divBdr>
        </w:div>
        <w:div w:id="528178914">
          <w:marLeft w:val="0"/>
          <w:marRight w:val="0"/>
          <w:marTop w:val="0"/>
          <w:marBottom w:val="0"/>
          <w:divBdr>
            <w:top w:val="none" w:sz="0" w:space="0" w:color="auto"/>
            <w:left w:val="none" w:sz="0" w:space="0" w:color="auto"/>
            <w:bottom w:val="none" w:sz="0" w:space="0" w:color="auto"/>
            <w:right w:val="none" w:sz="0" w:space="0" w:color="auto"/>
          </w:divBdr>
        </w:div>
      </w:divsChild>
    </w:div>
    <w:div w:id="775295923">
      <w:bodyDiv w:val="1"/>
      <w:marLeft w:val="0"/>
      <w:marRight w:val="0"/>
      <w:marTop w:val="0"/>
      <w:marBottom w:val="0"/>
      <w:divBdr>
        <w:top w:val="none" w:sz="0" w:space="0" w:color="auto"/>
        <w:left w:val="none" w:sz="0" w:space="0" w:color="auto"/>
        <w:bottom w:val="none" w:sz="0" w:space="0" w:color="auto"/>
        <w:right w:val="none" w:sz="0" w:space="0" w:color="auto"/>
      </w:divBdr>
      <w:divsChild>
        <w:div w:id="1987858499">
          <w:marLeft w:val="0"/>
          <w:marRight w:val="0"/>
          <w:marTop w:val="0"/>
          <w:marBottom w:val="0"/>
          <w:divBdr>
            <w:top w:val="none" w:sz="0" w:space="0" w:color="auto"/>
            <w:left w:val="none" w:sz="0" w:space="0" w:color="auto"/>
            <w:bottom w:val="none" w:sz="0" w:space="0" w:color="auto"/>
            <w:right w:val="none" w:sz="0" w:space="0" w:color="auto"/>
          </w:divBdr>
        </w:div>
        <w:div w:id="1157695289">
          <w:marLeft w:val="0"/>
          <w:marRight w:val="0"/>
          <w:marTop w:val="0"/>
          <w:marBottom w:val="0"/>
          <w:divBdr>
            <w:top w:val="none" w:sz="0" w:space="0" w:color="auto"/>
            <w:left w:val="none" w:sz="0" w:space="0" w:color="auto"/>
            <w:bottom w:val="none" w:sz="0" w:space="0" w:color="auto"/>
            <w:right w:val="none" w:sz="0" w:space="0" w:color="auto"/>
          </w:divBdr>
        </w:div>
      </w:divsChild>
    </w:div>
    <w:div w:id="786968159">
      <w:bodyDiv w:val="1"/>
      <w:marLeft w:val="0"/>
      <w:marRight w:val="0"/>
      <w:marTop w:val="0"/>
      <w:marBottom w:val="0"/>
      <w:divBdr>
        <w:top w:val="none" w:sz="0" w:space="0" w:color="auto"/>
        <w:left w:val="none" w:sz="0" w:space="0" w:color="auto"/>
        <w:bottom w:val="none" w:sz="0" w:space="0" w:color="auto"/>
        <w:right w:val="none" w:sz="0" w:space="0" w:color="auto"/>
      </w:divBdr>
      <w:divsChild>
        <w:div w:id="2144424076">
          <w:marLeft w:val="0"/>
          <w:marRight w:val="0"/>
          <w:marTop w:val="0"/>
          <w:marBottom w:val="0"/>
          <w:divBdr>
            <w:top w:val="none" w:sz="0" w:space="0" w:color="auto"/>
            <w:left w:val="none" w:sz="0" w:space="0" w:color="auto"/>
            <w:bottom w:val="none" w:sz="0" w:space="0" w:color="auto"/>
            <w:right w:val="none" w:sz="0" w:space="0" w:color="auto"/>
          </w:divBdr>
        </w:div>
        <w:div w:id="752044005">
          <w:marLeft w:val="0"/>
          <w:marRight w:val="0"/>
          <w:marTop w:val="0"/>
          <w:marBottom w:val="0"/>
          <w:divBdr>
            <w:top w:val="none" w:sz="0" w:space="0" w:color="auto"/>
            <w:left w:val="none" w:sz="0" w:space="0" w:color="auto"/>
            <w:bottom w:val="none" w:sz="0" w:space="0" w:color="auto"/>
            <w:right w:val="none" w:sz="0" w:space="0" w:color="auto"/>
          </w:divBdr>
        </w:div>
      </w:divsChild>
    </w:div>
    <w:div w:id="818768139">
      <w:bodyDiv w:val="1"/>
      <w:marLeft w:val="0"/>
      <w:marRight w:val="0"/>
      <w:marTop w:val="0"/>
      <w:marBottom w:val="0"/>
      <w:divBdr>
        <w:top w:val="none" w:sz="0" w:space="0" w:color="auto"/>
        <w:left w:val="none" w:sz="0" w:space="0" w:color="auto"/>
        <w:bottom w:val="none" w:sz="0" w:space="0" w:color="auto"/>
        <w:right w:val="none" w:sz="0" w:space="0" w:color="auto"/>
      </w:divBdr>
      <w:divsChild>
        <w:div w:id="27920082">
          <w:marLeft w:val="0"/>
          <w:marRight w:val="0"/>
          <w:marTop w:val="0"/>
          <w:marBottom w:val="0"/>
          <w:divBdr>
            <w:top w:val="none" w:sz="0" w:space="0" w:color="auto"/>
            <w:left w:val="none" w:sz="0" w:space="0" w:color="auto"/>
            <w:bottom w:val="none" w:sz="0" w:space="0" w:color="auto"/>
            <w:right w:val="none" w:sz="0" w:space="0" w:color="auto"/>
          </w:divBdr>
        </w:div>
      </w:divsChild>
    </w:div>
    <w:div w:id="1310751281">
      <w:bodyDiv w:val="1"/>
      <w:marLeft w:val="0"/>
      <w:marRight w:val="0"/>
      <w:marTop w:val="0"/>
      <w:marBottom w:val="0"/>
      <w:divBdr>
        <w:top w:val="none" w:sz="0" w:space="0" w:color="auto"/>
        <w:left w:val="none" w:sz="0" w:space="0" w:color="auto"/>
        <w:bottom w:val="none" w:sz="0" w:space="0" w:color="auto"/>
        <w:right w:val="none" w:sz="0" w:space="0" w:color="auto"/>
      </w:divBdr>
      <w:divsChild>
        <w:div w:id="103621061">
          <w:marLeft w:val="0"/>
          <w:marRight w:val="0"/>
          <w:marTop w:val="0"/>
          <w:marBottom w:val="0"/>
          <w:divBdr>
            <w:top w:val="none" w:sz="0" w:space="0" w:color="auto"/>
            <w:left w:val="none" w:sz="0" w:space="0" w:color="auto"/>
            <w:bottom w:val="none" w:sz="0" w:space="0" w:color="auto"/>
            <w:right w:val="none" w:sz="0" w:space="0" w:color="auto"/>
          </w:divBdr>
        </w:div>
        <w:div w:id="548803961">
          <w:marLeft w:val="0"/>
          <w:marRight w:val="0"/>
          <w:marTop w:val="0"/>
          <w:marBottom w:val="0"/>
          <w:divBdr>
            <w:top w:val="none" w:sz="0" w:space="0" w:color="auto"/>
            <w:left w:val="none" w:sz="0" w:space="0" w:color="auto"/>
            <w:bottom w:val="none" w:sz="0" w:space="0" w:color="auto"/>
            <w:right w:val="none" w:sz="0" w:space="0" w:color="auto"/>
          </w:divBdr>
        </w:div>
      </w:divsChild>
    </w:div>
    <w:div w:id="1436368894">
      <w:bodyDiv w:val="1"/>
      <w:marLeft w:val="0"/>
      <w:marRight w:val="0"/>
      <w:marTop w:val="0"/>
      <w:marBottom w:val="0"/>
      <w:divBdr>
        <w:top w:val="none" w:sz="0" w:space="0" w:color="auto"/>
        <w:left w:val="none" w:sz="0" w:space="0" w:color="auto"/>
        <w:bottom w:val="none" w:sz="0" w:space="0" w:color="auto"/>
        <w:right w:val="none" w:sz="0" w:space="0" w:color="auto"/>
      </w:divBdr>
      <w:divsChild>
        <w:div w:id="396974625">
          <w:marLeft w:val="0"/>
          <w:marRight w:val="0"/>
          <w:marTop w:val="0"/>
          <w:marBottom w:val="0"/>
          <w:divBdr>
            <w:top w:val="none" w:sz="0" w:space="0" w:color="auto"/>
            <w:left w:val="none" w:sz="0" w:space="0" w:color="auto"/>
            <w:bottom w:val="none" w:sz="0" w:space="0" w:color="auto"/>
            <w:right w:val="none" w:sz="0" w:space="0" w:color="auto"/>
          </w:divBdr>
        </w:div>
        <w:div w:id="1004168794">
          <w:marLeft w:val="0"/>
          <w:marRight w:val="0"/>
          <w:marTop w:val="0"/>
          <w:marBottom w:val="0"/>
          <w:divBdr>
            <w:top w:val="none" w:sz="0" w:space="0" w:color="auto"/>
            <w:left w:val="none" w:sz="0" w:space="0" w:color="auto"/>
            <w:bottom w:val="none" w:sz="0" w:space="0" w:color="auto"/>
            <w:right w:val="none" w:sz="0" w:space="0" w:color="auto"/>
          </w:divBdr>
        </w:div>
        <w:div w:id="1077748488">
          <w:marLeft w:val="0"/>
          <w:marRight w:val="0"/>
          <w:marTop w:val="0"/>
          <w:marBottom w:val="0"/>
          <w:divBdr>
            <w:top w:val="none" w:sz="0" w:space="0" w:color="auto"/>
            <w:left w:val="none" w:sz="0" w:space="0" w:color="auto"/>
            <w:bottom w:val="none" w:sz="0" w:space="0" w:color="auto"/>
            <w:right w:val="none" w:sz="0" w:space="0" w:color="auto"/>
          </w:divBdr>
        </w:div>
        <w:div w:id="35618473">
          <w:marLeft w:val="0"/>
          <w:marRight w:val="0"/>
          <w:marTop w:val="0"/>
          <w:marBottom w:val="0"/>
          <w:divBdr>
            <w:top w:val="none" w:sz="0" w:space="0" w:color="auto"/>
            <w:left w:val="none" w:sz="0" w:space="0" w:color="auto"/>
            <w:bottom w:val="none" w:sz="0" w:space="0" w:color="auto"/>
            <w:right w:val="none" w:sz="0" w:space="0" w:color="auto"/>
          </w:divBdr>
        </w:div>
      </w:divsChild>
    </w:div>
    <w:div w:id="1640719772">
      <w:bodyDiv w:val="1"/>
      <w:marLeft w:val="0"/>
      <w:marRight w:val="0"/>
      <w:marTop w:val="0"/>
      <w:marBottom w:val="0"/>
      <w:divBdr>
        <w:top w:val="none" w:sz="0" w:space="0" w:color="auto"/>
        <w:left w:val="none" w:sz="0" w:space="0" w:color="auto"/>
        <w:bottom w:val="none" w:sz="0" w:space="0" w:color="auto"/>
        <w:right w:val="none" w:sz="0" w:space="0" w:color="auto"/>
      </w:divBdr>
      <w:divsChild>
        <w:div w:id="2093231299">
          <w:marLeft w:val="0"/>
          <w:marRight w:val="0"/>
          <w:marTop w:val="0"/>
          <w:marBottom w:val="0"/>
          <w:divBdr>
            <w:top w:val="none" w:sz="0" w:space="0" w:color="auto"/>
            <w:left w:val="none" w:sz="0" w:space="0" w:color="auto"/>
            <w:bottom w:val="none" w:sz="0" w:space="0" w:color="auto"/>
            <w:right w:val="none" w:sz="0" w:space="0" w:color="auto"/>
          </w:divBdr>
        </w:div>
        <w:div w:id="1449080210">
          <w:marLeft w:val="0"/>
          <w:marRight w:val="0"/>
          <w:marTop w:val="0"/>
          <w:marBottom w:val="0"/>
          <w:divBdr>
            <w:top w:val="none" w:sz="0" w:space="0" w:color="auto"/>
            <w:left w:val="none" w:sz="0" w:space="0" w:color="auto"/>
            <w:bottom w:val="none" w:sz="0" w:space="0" w:color="auto"/>
            <w:right w:val="none" w:sz="0" w:space="0" w:color="auto"/>
          </w:divBdr>
        </w:div>
        <w:div w:id="1183520602">
          <w:marLeft w:val="0"/>
          <w:marRight w:val="0"/>
          <w:marTop w:val="0"/>
          <w:marBottom w:val="0"/>
          <w:divBdr>
            <w:top w:val="none" w:sz="0" w:space="0" w:color="auto"/>
            <w:left w:val="none" w:sz="0" w:space="0" w:color="auto"/>
            <w:bottom w:val="none" w:sz="0" w:space="0" w:color="auto"/>
            <w:right w:val="none" w:sz="0" w:space="0" w:color="auto"/>
          </w:divBdr>
        </w:div>
        <w:div w:id="1509058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37034-1B99-43DE-9B24-053D170E9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5</Pages>
  <Words>2114</Words>
  <Characters>12262</Characters>
  <Application>Microsoft Office Word</Application>
  <DocSecurity>0</DocSecurity>
  <Lines>102</Lines>
  <Paragraphs>28</Paragraphs>
  <ScaleCrop>false</ScaleCrop>
  <HeadingPairs>
    <vt:vector size="2" baseType="variant">
      <vt:variant>
        <vt:lpstr>Pealkiri</vt:lpstr>
      </vt:variant>
      <vt:variant>
        <vt:i4>1</vt:i4>
      </vt:variant>
    </vt:vector>
  </HeadingPairs>
  <TitlesOfParts>
    <vt:vector size="1" baseType="lpstr">
      <vt:lpstr/>
    </vt:vector>
  </TitlesOfParts>
  <Company>Registrite ja Infosüsteemide Keskus</Company>
  <LinksUpToDate>false</LinksUpToDate>
  <CharactersWithSpaces>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Eva-Liis Bome</dc:creator>
  <cp:keywords/>
  <dc:description/>
  <cp:lastModifiedBy>Kaisa Margus</cp:lastModifiedBy>
  <cp:revision>37</cp:revision>
  <cp:lastPrinted>2025-04-30T11:55:00Z</cp:lastPrinted>
  <dcterms:created xsi:type="dcterms:W3CDTF">2025-04-28T08:24:00Z</dcterms:created>
  <dcterms:modified xsi:type="dcterms:W3CDTF">2025-04-30T12:52:00Z</dcterms:modified>
</cp:coreProperties>
</file>